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GV-05 · Gestión de Riesgos de la Cadena de Suministro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(GV.SC — Cadena de suministro)</w:t>
      </w:r>
    </w:p>
    <w:p>
      <w:pPr>
        <w:ind w:left="432"/>
      </w:pPr>
      <w:r>
        <w:rPr>
          <w:i/>
          <w:color w:val="606060"/>
        </w:rPr>
        <w:t>**ISO/IEC 27001:** A.5.19 (Seguridad en las relaciones con proveedores) · A.5.20 (Acuerdos con proveedores) · A.5.21 (Gestión de la seguridad de TI en la cadena de suministro) · A.5.22 (Monitoreo y revisión de servicios de proveedores)</w:t>
      </w:r>
    </w:p>
    <w:p>
      <w:pPr>
        <w:ind w:left="432"/>
      </w:pPr>
      <w:r>
        <w:rPr>
          <w:i/>
          <w:color w:val="606060"/>
        </w:rPr>
        <w:t>**BCU:** Circulares 2419-2422 (tercerización y subcontratación) · Comunicación 2022/254 (tercerización de actividades en el exterior) · RNRCSF art. 492</w:t>
      </w:r>
    </w:p>
    <w:p>
      <w:pPr>
        <w:ind w:left="432"/>
      </w:pPr>
      <w:r>
        <w:rPr>
          <w:i/>
          <w:color w:val="606060"/>
        </w:rPr>
        <w:t>**URCDP:** Ley 18.331 art. 12 y Decreto 64/020 (encargados de tratamiento, cláusulas y transferencias)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documento gestiona los </w:t>
      </w:r>
      <w:r>
        <w:rPr>
          <w:b/>
        </w:rPr>
        <w:t>riesgos de seguridad que provienen de terceros</w:t>
      </w:r>
      <w:r>
        <w:t xml:space="preserve">: proveedores tecnológicos, procesadoras de pagos, centros de datos, nube, custodias, call centers y subcontratistas. El banco delega servicios, pero </w:t>
      </w:r>
      <w:r>
        <w:rPr>
          <w:b/>
        </w:rPr>
        <w:t>no delega responsabilidad</w:t>
      </w:r>
      <w:r>
        <w:t xml:space="preserve">: si un proveedor sufre un incidente con datos de clientes del Banco, la URCDP y el BCU le exigirán al Banco, no al proveedor. La ISO/IEC 27001 lo regula en los controles </w:t>
      </w:r>
      <w:r>
        <w:rPr>
          <w:b/>
        </w:rPr>
        <w:t>A.5.19 a A.5.22</w:t>
      </w:r>
      <w:r>
        <w:t xml:space="preserve"> y el MCU 5.0 en la categoría </w:t>
      </w:r>
      <w:r>
        <w:rPr>
          <w:b/>
        </w:rPr>
        <w:t>GV.SC</w:t>
      </w:r>
      <w:r>
        <w:t>.</w:t>
      </w:r>
    </w:p>
    <w:p>
      <w:r>
        <w:t xml:space="preserve">Se usa en </w:t>
      </w:r>
      <w:r>
        <w:rPr>
          <w:b/>
        </w:rPr>
        <w:t>cada alta, renovación o cambio significativo de un contrato con terceros</w:t>
      </w:r>
      <w:r>
        <w:t xml:space="preserve">, y de forma permanente mediante un registro de terceros críticos y evaluaciones periódicas. El BCU exige reglas específicas en las Circulares </w:t>
      </w:r>
      <w:r>
        <w:rPr>
          <w:b/>
        </w:rPr>
        <w:t>2419 a 2422</w:t>
      </w:r>
      <w:r>
        <w:t xml:space="preserve"> (tercerización de funciones esenciales y subcontratación) y la </w:t>
      </w:r>
      <w:r>
        <w:rPr>
          <w:b/>
        </w:rPr>
        <w:t>Comunicación 2022/254</w:t>
      </w:r>
      <w:r>
        <w:t xml:space="preserve"> para la </w:t>
      </w:r>
      <w:r>
        <w:rPr>
          <w:b/>
        </w:rPr>
        <w:t>tercerización en el exterior</w:t>
      </w:r>
      <w:r>
        <w:t xml:space="preserve">; la URCDP exige, por el </w:t>
      </w:r>
      <w:r>
        <w:rPr>
          <w:b/>
        </w:rPr>
        <w:t>Decreto 64/020</w:t>
      </w:r>
      <w:r>
        <w:t>, que los encargados de tratamiento ofrezcan garantías suficientes y que los contratos fijen las cláusulas mínimas de protección de datos.</w:t>
      </w:r>
    </w:p>
    <w:p>
      <w:r>
        <w:t>Sin esta gestión, el SGSI tiene un agujero: muchos incidentes graves de los bancos comienzan en un proveedor con accesos al entorno productivo o a bases de datos de clientes.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MCU 5.0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ISO/IEC 27001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BCU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URCDP</w:t>
            </w:r>
          </w:p>
        </w:tc>
      </w:tr>
      <w:tr>
        <w:tc>
          <w:tcPr>
            <w:tcW w:type="dxa" w:w="1930"/>
          </w:tcPr>
          <w:p>
            <w:r/>
            <w:r>
              <w:t>Seguridad en relaciones con proveedores</w:t>
            </w:r>
          </w:p>
        </w:tc>
        <w:tc>
          <w:tcPr>
            <w:tcW w:type="dxa" w:w="1930"/>
          </w:tcPr>
          <w:p>
            <w:r/>
            <w:r>
              <w:t>GV.SC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A.5.19</w:t>
            </w:r>
          </w:p>
        </w:tc>
        <w:tc>
          <w:tcPr>
            <w:tcW w:type="dxa" w:w="1930"/>
          </w:tcPr>
          <w:p>
            <w:r/>
            <w:r>
              <w:t>Circ. 2419-2422</w:t>
            </w:r>
          </w:p>
        </w:tc>
        <w:tc>
          <w:tcPr>
            <w:tcW w:type="dxa" w:w="1930"/>
          </w:tcPr>
          <w:p>
            <w:r/>
            <w:r>
              <w:t>Decreto 64/020 (garantías del encargado)</w:t>
            </w:r>
          </w:p>
        </w:tc>
      </w:tr>
      <w:tr>
        <w:tc>
          <w:tcPr>
            <w:tcW w:type="dxa" w:w="1930"/>
          </w:tcPr>
          <w:p>
            <w:r/>
            <w:r>
              <w:t>Acuerdos contractuales de seguridad</w:t>
            </w:r>
          </w:p>
        </w:tc>
        <w:tc>
          <w:tcPr>
            <w:tcW w:type="dxa" w:w="1930"/>
          </w:tcPr>
          <w:p>
            <w:r/>
            <w:r>
              <w:t>GV.SC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A.5.20</w:t>
            </w:r>
          </w:p>
        </w:tc>
        <w:tc>
          <w:tcPr>
            <w:tcW w:type="dxa" w:w="1930"/>
          </w:tcPr>
          <w:p>
            <w:r/>
            <w:r>
              <w:t>Circ. 2419-2422</w:t>
            </w:r>
          </w:p>
        </w:tc>
        <w:tc>
          <w:tcPr>
            <w:tcW w:type="dxa" w:w="1930"/>
          </w:tcPr>
          <w:p>
            <w:r/>
            <w:r>
              <w:t>D.64/020 (cláusulas mínimas)</w:t>
            </w:r>
          </w:p>
        </w:tc>
      </w:tr>
      <w:tr>
        <w:tc>
          <w:tcPr>
            <w:tcW w:type="dxa" w:w="1930"/>
          </w:tcPr>
          <w:p>
            <w:r/>
            <w:r>
              <w:t>Cadena de suministro de TI</w:t>
            </w:r>
          </w:p>
        </w:tc>
        <w:tc>
          <w:tcPr>
            <w:tcW w:type="dxa" w:w="1930"/>
          </w:tcPr>
          <w:p>
            <w:r/>
            <w:r>
              <w:t>GV.SC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A.5.21</w:t>
            </w:r>
          </w:p>
        </w:tc>
        <w:tc>
          <w:tcPr>
            <w:tcW w:type="dxa" w:w="1930"/>
          </w:tcPr>
          <w:p>
            <w:r/>
            <w:r>
              <w:t>Circ. 2419-2422 (subcontratación)</w:t>
            </w:r>
          </w:p>
        </w:tc>
        <w:tc>
          <w:tcPr>
            <w:tcW w:type="dxa" w:w="1930"/>
          </w:tcPr>
          <w:p>
            <w:r/>
            <w:r>
              <w:t>D.64/020 (encadenamiento de responsables)</w:t>
            </w:r>
          </w:p>
        </w:tc>
      </w:tr>
      <w:tr>
        <w:tc>
          <w:tcPr>
            <w:tcW w:type="dxa" w:w="1930"/>
          </w:tcPr>
          <w:p>
            <w:r/>
            <w:r>
              <w:t>Monitoreo y revisión de proveedores</w:t>
            </w:r>
          </w:p>
        </w:tc>
        <w:tc>
          <w:tcPr>
            <w:tcW w:type="dxa" w:w="1930"/>
          </w:tcPr>
          <w:p>
            <w:r/>
            <w:r>
              <w:t>GV.SC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A.5.22</w:t>
            </w:r>
          </w:p>
        </w:tc>
        <w:tc>
          <w:tcPr>
            <w:tcW w:type="dxa" w:w="1930"/>
          </w:tcPr>
          <w:p>
            <w:r/>
            <w:r>
              <w:t>Circ. 2419-2422</w:t>
            </w:r>
          </w:p>
        </w:tc>
        <w:tc>
          <w:tcPr>
            <w:tcW w:type="dxa" w:w="1930"/>
          </w:tcPr>
          <w:p>
            <w:r/>
            <w:r>
              <w:t>D.64/020 (verificación de medidas)</w:t>
            </w:r>
          </w:p>
        </w:tc>
      </w:tr>
      <w:tr>
        <w:tc>
          <w:tcPr>
            <w:tcW w:type="dxa" w:w="1930"/>
          </w:tcPr>
          <w:p>
            <w:r/>
            <w:r>
              <w:t>Tercerización en el exterior</w:t>
            </w:r>
          </w:p>
        </w:tc>
        <w:tc>
          <w:tcPr>
            <w:tcW w:type="dxa" w:w="1930"/>
          </w:tcPr>
          <w:p>
            <w:r/>
            <w:r>
              <w:t>GV.SC</w:t>
            </w:r>
          </w:p>
        </w:tc>
        <w:tc>
          <w:tcPr>
            <w:tcW w:type="dxa" w:w="1930"/>
          </w:tcPr>
          <w:p>
            <w:r/>
            <w:r>
              <w:t>A.5.19 (riesgo país)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Com. 2022/254</w:t>
            </w:r>
            <w:r>
              <w:t>; autorización previa del BCU</w:t>
            </w:r>
          </w:p>
        </w:tc>
        <w:tc>
          <w:tcPr>
            <w:tcW w:type="dxa" w:w="1930"/>
          </w:tcPr>
          <w:p>
            <w:r/>
            <w:r>
              <w:t>D.64/020 arts. 29-31 (transferencias internacionales)</w:t>
            </w:r>
          </w:p>
        </w:tc>
      </w:tr>
      <w:tr>
        <w:tc>
          <w:tcPr>
            <w:tcW w:type="dxa" w:w="1930"/>
          </w:tcPr>
          <w:p>
            <w:r/>
            <w:r>
              <w:t>Datos personales en encargados</w:t>
            </w:r>
          </w:p>
        </w:tc>
        <w:tc>
          <w:tcPr>
            <w:tcW w:type="dxa" w:w="1930"/>
          </w:tcPr>
          <w:p>
            <w:r/>
            <w:r>
              <w:t>PR.DS</w:t>
            </w:r>
          </w:p>
        </w:tc>
        <w:tc>
          <w:tcPr>
            <w:tcW w:type="dxa" w:w="1930"/>
          </w:tcPr>
          <w:p>
            <w:r/>
            <w:r>
              <w:t>A.5.20</w:t>
            </w:r>
          </w:p>
        </w:tc>
        <w:tc>
          <w:tcPr>
            <w:tcW w:type="dxa" w:w="1930"/>
          </w:tcPr>
          <w:p>
            <w:r/>
            <w:r>
              <w:t>RNRCSF art. 492 (resguardo de datos)</w:t>
            </w:r>
          </w:p>
        </w:tc>
        <w:tc>
          <w:tcPr>
            <w:tcW w:type="dxa" w:w="1930"/>
          </w:tcPr>
          <w:p>
            <w:r/>
            <w:r>
              <w:t>Ley 18.331 art. 12; D.64/020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Armá el inventario de terceros críticos</w:t>
      </w:r>
      <w:r>
        <w:t xml:space="preserve"> con el Departamento Compras y Contrataciones: procesadoras de pagos, proveedor de nube/datacenter, desarrolladores externos, call centers, custodias de archivo y consultorías con acceso a información.</w:t>
      </w:r>
    </w:p>
    <w:p>
      <w:pPr>
        <w:pStyle w:val="ListNumber"/>
      </w:pPr>
      <w:r>
        <w:rPr>
          <w:b/>
        </w:rPr>
        <w:t>Clasificá la criticidad</w:t>
      </w:r>
      <w:r>
        <w:t xml:space="preserve"> (alta/media/baja) según el acceso a datos, la criticidad del proceso soportado y la dependencia del Banco, consultando al Jefe de Departamento Sistema de Pagos (Cr. Guillermo Correa) y al Jefe de Departamento Producción (Ing. Daniel Herrera).</w:t>
      </w:r>
    </w:p>
    <w:p>
      <w:pPr>
        <w:pStyle w:val="ListNumber"/>
      </w:pPr>
      <w:r>
        <w:rPr>
          <w:b/>
        </w:rPr>
        <w:t>Evaluá el riesgo del proveedor</w:t>
      </w:r>
      <w:r>
        <w:t xml:space="preserve"> en tres ejes: </w:t>
      </w:r>
      <w:r>
        <w:rPr>
          <w:b/>
        </w:rPr>
        <w:t>técnico</w:t>
      </w:r>
      <w:r>
        <w:t xml:space="preserve"> (seguridad y controles), </w:t>
      </w:r>
      <w:r>
        <w:rPr>
          <w:b/>
        </w:rPr>
        <w:t>legal</w:t>
      </w:r>
      <w:r>
        <w:t xml:space="preserve"> (contratos, datos personales, plazos de notificación) y </w:t>
      </w:r>
      <w:r>
        <w:rPr>
          <w:b/>
        </w:rPr>
        <w:t>de negocio</w:t>
      </w:r>
      <w:r>
        <w:t xml:space="preserve"> (solvencia, dependencia, capacidad de respuesta). Usá cuestionarios y evidencias (certificaciones, auditorías, informes de pruebas).</w:t>
      </w:r>
    </w:p>
    <w:p>
      <w:pPr>
        <w:pStyle w:val="ListNumber"/>
      </w:pPr>
      <w:r>
        <w:rPr>
          <w:b/>
        </w:rPr>
        <w:t>Incorporá las cláusulas mínimas</w:t>
      </w:r>
      <w:r>
        <w:t xml:space="preserve"> a cada contrato (apartado 4.5) y revisá que el Oficial de Cumplimiento y el DPD las validen.</w:t>
      </w:r>
    </w:p>
    <w:p>
      <w:pPr>
        <w:pStyle w:val="ListNumber"/>
      </w:pPr>
      <w:r>
        <w:rPr>
          <w:b/>
        </w:rPr>
        <w:t>Gestioná las tercerizaciones en el exterior</w:t>
      </w:r>
      <w:r>
        <w:t xml:space="preserve"> con la debida autorización del BCU (Com. 2022/254) y verificación de las condiciones del país de destino por el DPD.</w:t>
      </w:r>
    </w:p>
    <w:p>
      <w:pPr>
        <w:pStyle w:val="ListNumber"/>
      </w:pPr>
      <w:r>
        <w:rPr>
          <w:b/>
        </w:rPr>
        <w:t>Controlá la subcontratación</w:t>
      </w:r>
      <w:r>
        <w:t>: el tercero principal debe informar y obtener aprobación antes de subcontratar, con las mismas obligaciones.</w:t>
      </w:r>
    </w:p>
    <w:p>
      <w:pPr>
        <w:pStyle w:val="ListNumber"/>
      </w:pPr>
      <w:r>
        <w:rPr>
          <w:b/>
        </w:rPr>
        <w:t>Seguimiento</w:t>
      </w:r>
      <w:r>
        <w:t>: revisión anual de cada tercero crítico, auditorías/inspecciones pactadas y verificación del cumplimiento contractual; documentá los resultados.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GV-05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Riesgos de la Cadena de Suministro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 / DPD / Oficial de Cumplimiento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Gerencia General / 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Gestionar los riesgos de seguridad de la información originados en terceros y en la cadena de suministro del Banco, asegurando que los proveedores cumplan estándares equivalentes a los del banco y que los contratos fijen las garantías y cláusulas mínimas exigidas por el BCU y la URCDP.</w:t>
      </w:r>
    </w:p>
    <w:p>
      <w:pPr>
        <w:pStyle w:val="Heading3"/>
      </w:pPr>
      <w:r>
        <w:rPr>
          <w:color w:val="1F3B63"/>
        </w:rPr>
        <w:t>2. Inventario de terceros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Tercero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Servicio prestado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Datos a los que accede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Criticidad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Contrato / vigencia</w:t>
            </w:r>
          </w:p>
        </w:tc>
      </w:tr>
      <w:tr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  <w:tc>
          <w:tcPr>
            <w:tcW w:type="dxa" w:w="1608"/>
          </w:tcPr>
          <w:p>
            <w:r/>
            <w:r>
              <w:t>Alta/Media/Baja</w:t>
            </w:r>
          </w:p>
        </w:tc>
        <w:tc>
          <w:tcPr>
            <w:tcW w:type="dxa" w:w="1608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3. Criterios de clasificación de criticidad</w:t>
      </w:r>
    </w:p>
    <w:p>
      <w:pPr>
        <w:pStyle w:val="ListBullet"/>
      </w:pPr>
      <w:r>
        <w:rPr>
          <w:b/>
        </w:rPr>
        <w:t>Alta:</w:t>
      </w:r>
      <w:r>
        <w:t xml:space="preserve"> terceros con acceso a datos de clientes, secretos bancarios o sistemas de pagos; falla o incidente que interrumpe servicios esenciales (crédito hipotecario, ahorro, pagos, Banco En Línea).</w:t>
      </w:r>
    </w:p>
    <w:p>
      <w:pPr>
        <w:pStyle w:val="ListBullet"/>
      </w:pPr>
      <w:r>
        <w:rPr>
          <w:b/>
        </w:rPr>
        <w:t>Media:</w:t>
      </w:r>
      <w:r>
        <w:t xml:space="preserve"> terceros con acceso parcial o de solo lectura, o que soportan procesos importantes pero sustituibles.</w:t>
      </w:r>
    </w:p>
    <w:p>
      <w:pPr>
        <w:pStyle w:val="ListBullet"/>
      </w:pPr>
      <w:r>
        <w:rPr>
          <w:b/>
        </w:rPr>
        <w:t>Baja:</w:t>
      </w:r>
      <w:r>
        <w:t xml:space="preserve"> terceros sin acceso a información sensible ni impacto relevante en operaciones.</w:t>
      </w:r>
    </w:p>
    <w:p>
      <w:pPr>
        <w:pStyle w:val="Heading3"/>
      </w:pPr>
      <w:r>
        <w:rPr>
          <w:color w:val="1F3B63"/>
        </w:rPr>
        <w:t>4. Evaluación de riesgos del proveedor</w:t>
      </w:r>
    </w:p>
    <w:p>
      <w:r>
        <w:rPr>
          <w:b/>
        </w:rPr>
        <w:t>4.1 Eje técnico y de seguridad:</w:t>
      </w:r>
      <w:r>
        <w:t xml:space="preserve"> [COMPLETAR: certificaciones ISO 27001, controles de acceso, cifrado, gestión de incidentes, pruebas de seguridad, continuidad]. Resultado: [COMPLETAR].</w:t>
      </w:r>
    </w:p>
    <w:p>
      <w:r>
        <w:rPr>
          <w:b/>
        </w:rPr>
        <w:t>4.2 Eje legal y normativo:</w:t>
      </w:r>
      <w:r>
        <w:t xml:space="preserve"> [COMPLETAR: cláusulas contractuales, protección de datos personales, notificación de vulneraciones, subcontratación, legislación aplicable]. Resultado: [COMPLETAR].</w:t>
      </w:r>
    </w:p>
    <w:p>
      <w:r>
        <w:rPr>
          <w:b/>
        </w:rPr>
        <w:t>4.3 Eje de negocio y solvencia:</w:t>
      </w:r>
      <w:r>
        <w:t xml:space="preserve"> [COMPLETAR: situación financiera, dependencia del Banco, alternativas en el mercado, capacidad de respuesta]. Resultado: [COMPLETAR].</w:t>
      </w:r>
    </w:p>
    <w:p>
      <w:r>
        <w:rPr>
          <w:b/>
        </w:rPr>
        <w:t>4.4 Escala de riesgo y decisión:</w:t>
      </w:r>
      <w:r>
        <w:t xml:space="preserve"> Riesgo </w:t>
      </w:r>
      <w:r>
        <w:rPr>
          <w:b/>
        </w:rPr>
        <w:t>Alto</w:t>
      </w:r>
      <w:r>
        <w:t xml:space="preserve"> → no contratar o exigir plan de remediación antes del inicio; </w:t>
      </w:r>
      <w:r>
        <w:rPr>
          <w:b/>
        </w:rPr>
        <w:t>Medio</w:t>
      </w:r>
      <w:r>
        <w:t xml:space="preserve"> → aceptar con condiciones contractuales y seguimiento reforzado; </w:t>
      </w:r>
      <w:r>
        <w:rPr>
          <w:b/>
        </w:rPr>
        <w:t>Bajo</w:t>
      </w:r>
      <w:r>
        <w:t xml:space="preserve"> → aceptar con seguimiento rutinario.</w:t>
      </w:r>
    </w:p>
    <w:p>
      <w:pPr>
        <w:pStyle w:val="Heading3"/>
      </w:pPr>
      <w:r>
        <w:rPr>
          <w:color w:val="1F3B63"/>
        </w:rPr>
        <w:t>5. Cláusulas contractuales mínimas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Cláusula mínima exigida</w:t>
            </w:r>
          </w:p>
        </w:tc>
      </w:tr>
      <w:tr>
        <w:tc>
          <w:tcPr>
            <w:tcW w:type="dxa" w:w="4824"/>
          </w:tcPr>
          <w:p>
            <w:r/>
            <w:r>
              <w:t>Seguridad de la información</w:t>
            </w:r>
          </w:p>
        </w:tc>
        <w:tc>
          <w:tcPr>
            <w:tcW w:type="dxa" w:w="4824"/>
          </w:tcPr>
          <w:p>
            <w:r/>
            <w:r>
              <w:t>El tercero implementa y mantiene controles de seguridad acordes al riesgo y a la normativa aplicable</w:t>
            </w:r>
          </w:p>
        </w:tc>
      </w:tr>
      <w:tr>
        <w:tc>
          <w:tcPr>
            <w:tcW w:type="dxa" w:w="4824"/>
          </w:tcPr>
          <w:p>
            <w:r/>
            <w:r>
              <w:t>Resguardo de datos</w:t>
            </w:r>
          </w:p>
        </w:tc>
        <w:tc>
          <w:tcPr>
            <w:tcW w:type="dxa" w:w="4824"/>
          </w:tcPr>
          <w:p>
            <w:r/>
            <w:r>
              <w:t>Garantía del resguardo de datos conforme al art. 492 RNRCSF y al Decreto 64/020</w:t>
            </w:r>
          </w:p>
        </w:tc>
      </w:tr>
      <w:tr>
        <w:tc>
          <w:tcPr>
            <w:tcW w:type="dxa" w:w="4824"/>
          </w:tcPr>
          <w:p>
            <w:r/>
            <w:r>
              <w:t>Confidencialidad y secreto bancario</w:t>
            </w:r>
          </w:p>
        </w:tc>
        <w:tc>
          <w:tcPr>
            <w:tcW w:type="dxa" w:w="4824"/>
          </w:tcPr>
          <w:p>
            <w:r/>
            <w:r>
              <w:t>Obligación de confidencialidad que subsiste a la terminación del contrato</w:t>
            </w:r>
          </w:p>
        </w:tc>
      </w:tr>
      <w:tr>
        <w:tc>
          <w:tcPr>
            <w:tcW w:type="dxa" w:w="4824"/>
          </w:tcPr>
          <w:p>
            <w:r/>
            <w:r>
              <w:t>Datos personales</w:t>
            </w:r>
          </w:p>
        </w:tc>
        <w:tc>
          <w:tcPr>
            <w:tcW w:type="dxa" w:w="4824"/>
          </w:tcPr>
          <w:p>
            <w:r/>
            <w:r>
              <w:t>Tratamiento solo por instrucción del Banco; rol de encargado; derechos ARCO; inscripción ante URCDP [COMPLETAR]</w:t>
            </w:r>
          </w:p>
        </w:tc>
      </w:tr>
      <w:tr>
        <w:tc>
          <w:tcPr>
            <w:tcW w:type="dxa" w:w="4824"/>
          </w:tcPr>
          <w:p>
            <w:r/>
            <w:r>
              <w:t>Notificación de incidentes</w:t>
            </w:r>
          </w:p>
        </w:tc>
        <w:tc>
          <w:tcPr>
            <w:tcW w:type="dxa" w:w="4824"/>
          </w:tcPr>
          <w:p>
            <w:r/>
            <w:r>
              <w:t>Notificación inmediata (≤ [COMPLETAR] horas) de incidentes y vulneraciones de datos</w:t>
            </w:r>
          </w:p>
        </w:tc>
      </w:tr>
      <w:tr>
        <w:tc>
          <w:tcPr>
            <w:tcW w:type="dxa" w:w="4824"/>
          </w:tcPr>
          <w:p>
            <w:r/>
            <w:r>
              <w:t>Auditoría e inspección</w:t>
            </w:r>
          </w:p>
        </w:tc>
        <w:tc>
          <w:tcPr>
            <w:tcW w:type="dxa" w:w="4824"/>
          </w:tcPr>
          <w:p>
            <w:r/>
            <w:r>
              <w:t>Derecho del Banco (o auditor externo) a auditar e inspeccionar al tercero y sus instalaciones</w:t>
            </w:r>
          </w:p>
        </w:tc>
      </w:tr>
      <w:tr>
        <w:tc>
          <w:tcPr>
            <w:tcW w:type="dxa" w:w="4824"/>
          </w:tcPr>
          <w:p>
            <w:r/>
            <w:r>
              <w:t>Subcontratación</w:t>
            </w:r>
          </w:p>
        </w:tc>
        <w:tc>
          <w:tcPr>
            <w:tcW w:type="dxa" w:w="4824"/>
          </w:tcPr>
          <w:p>
            <w:r/>
            <w:r>
              <w:t>Prohibición de subcontratar sin autorización escrita previa del Banco, con las mismas obligaciones</w:t>
            </w:r>
          </w:p>
        </w:tc>
      </w:tr>
      <w:tr>
        <w:tc>
          <w:tcPr>
            <w:tcW w:type="dxa" w:w="4824"/>
          </w:tcPr>
          <w:p>
            <w:r/>
            <w:r>
              <w:t>Seguridad y retiro de la información</w:t>
            </w:r>
          </w:p>
        </w:tc>
        <w:tc>
          <w:tcPr>
            <w:tcW w:type="dxa" w:w="4824"/>
          </w:tcPr>
          <w:p>
            <w:r/>
            <w:r>
              <w:t>Devolución o destrucción certificada de la información al finalizar el contrato</w:t>
            </w:r>
          </w:p>
        </w:tc>
      </w:tr>
      <w:tr>
        <w:tc>
          <w:tcPr>
            <w:tcW w:type="dxa" w:w="4824"/>
          </w:tcPr>
          <w:p>
            <w:r/>
            <w:r>
              <w:t>Jurisdicción y legislación</w:t>
            </w:r>
          </w:p>
        </w:tc>
        <w:tc>
          <w:tcPr>
            <w:tcW w:type="dxa" w:w="4824"/>
          </w:tcPr>
          <w:p>
            <w:r/>
            <w:r>
              <w:t>Legislación uruguaya; responsabilidad del tercero por sus subcontratistas</w:t>
            </w:r>
          </w:p>
        </w:tc>
      </w:tr>
    </w:tbl>
    <w:p>
      <w:pPr>
        <w:pStyle w:val="Heading3"/>
      </w:pPr>
      <w:r>
        <w:rPr>
          <w:color w:val="1F3B63"/>
        </w:rPr>
        <w:t>6. Tercerización de actividades en el exterior</w:t>
      </w:r>
    </w:p>
    <w:p>
      <w:r>
        <w:t>Toda tercerización de funciones esenciales en el exterior requiere: [COMPLETAR: autorización previa del BCU conforme a la Comunicación 2022/254, evaluación del marco legal y de protección de datos del país de destino por el DPD, y cláusulas que garanticen la disponibilidad de la información y el acceso del supervisor]. Se documenta: [COMPLETAR].</w:t>
      </w:r>
    </w:p>
    <w:p>
      <w:pPr>
        <w:pStyle w:val="Heading3"/>
      </w:pPr>
      <w:r>
        <w:rPr>
          <w:color w:val="1F3B63"/>
        </w:rPr>
        <w:t>7. Subcontratistas</w:t>
      </w:r>
    </w:p>
    <w:p>
      <w:r>
        <w:t>El tercero debe: identificar a sus subcontratistas, informar cualquier cambio y obtener la aprobación del Banco. Las obligaciones de seguridad se trasladan íntegramente mediante [COMPLETAR: contrato o addenda con el subcontratista]. El Banco mantiene un registro de subcontratistas de los terceros críticos.</w:t>
      </w:r>
    </w:p>
    <w:p>
      <w:pPr>
        <w:pStyle w:val="Heading3"/>
      </w:pPr>
      <w:r>
        <w:rPr>
          <w:color w:val="1F3B63"/>
        </w:rPr>
        <w:t>8. Seguimiento y monitoreo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Tercero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Frecuencia de evaluación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Última evaluación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Próxima acción</w:t>
            </w:r>
          </w:p>
        </w:tc>
      </w:tr>
      <w:tr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r>
        <w:t>El RSI consolida anualmente el estado de la cadena de suministro y lo presenta al Comité de Seguridad y en el informe a la Dirección (GV-06). Los hallazgos críticos se tratan como riesgos del SGSI (ID-04).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y alta de terceros críticos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 / Gerencia General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Adaptalo a los contratos y proveedores reales del Banco.</w:t>
      </w:r>
    </w:p>
    <w:p>
      <w:r>
        <w:rPr>
          <w:b/>
        </w:rPr>
        <w:t>Inventario (ejemplo):</w:t>
      </w:r>
      <w:r>
        <w:t xml:space="preserve"> la procesadora de tarjetas de débito y medios de pago (criticidad alta, accede a datos de tarjetahabientes y al sistema de pagos del Banco); el proveedor del centro de datos y servicios de nube (criticidad alta, aloja el core y Banco En Línea); la empresa de desarrollo de software para el canal digital (criticidad media); el call center de atención al cliente (criticidad media, trata datos personales de ahorristas); la custodia de archivos y documentos de garantías hipotecarias (criticidad media); y el proveedor de correo corporativo y productividad (criticidad media).</w:t>
      </w:r>
    </w:p>
    <w:p>
      <w:r>
        <w:rPr>
          <w:b/>
        </w:rPr>
        <w:t>Evaluación (ejemplo):</w:t>
      </w:r>
      <w:r>
        <w:t xml:space="preserve"> el proveedor de nube acreditó la certificación ISO 27001 y presentó su informe de auditoría del año, pero muestra brechas en la definición de RPO/RTO para el entorno del core hipotecario; se exige la adecuación del plan de continuidad como condición antes de renovar el contrato.</w:t>
      </w:r>
    </w:p>
    <w:p>
      <w:r>
        <w:rPr>
          <w:b/>
        </w:rPr>
        <w:t>Cláusula de incidentes (ejemplo):</w:t>
      </w:r>
      <w:r>
        <w:t xml:space="preserve"> el contrato con la procesadora de pagos obliga a notificar al Banco cualquier incidente de seguridad en un plazo máximo de 4 horas, y al DPD la vulneración de datos personales dentro del plazo legal de la Ley 19.670, para que el banco cumpla con sus obligaciones de notificación ante BCU y URCDP.</w:t>
      </w:r>
    </w:p>
    <w:p>
      <w:r>
        <w:rPr>
          <w:b/>
        </w:rPr>
        <w:t>Tercerización en el exterior (ejemplo):</w:t>
      </w:r>
      <w:r>
        <w:t xml:space="preserve"> el Banco evalúa trasladar parte de la infraestructura de Banco En Línea a una nube internacional; antes de contratar, debe obtener la autorización del BCU conforme a la Comunicación 2022/254, y el DPD debe verificar el nivel de protección del país de destino conforme al Decreto 64/020 (transferencias internacionales), documentando la evaluación de impacto.</w:t>
      </w:r>
    </w:p>
    <w:p>
      <w:r>
        <w:rPr>
          <w:b/>
        </w:rPr>
        <w:t>Subcontratación (ejemplo):</w:t>
      </w:r>
      <w:r>
        <w:t xml:space="preserve"> el call center no puede derivar la atención de consultas de créditos hipotecarios a un subcontratista sin la aprobación previa por escrito de Compras y Contrataciones y del RSI, con las mismas cláusulas de confidencialidad y secreto bancario.</w:t>
      </w:r>
    </w:p>
    <w:p>
      <w:r>
        <w:rPr>
          <w:b/>
        </w:rPr>
        <w:t>Documentos relacionados:</w:t>
      </w:r>
      <w:r>
        <w:t xml:space="preserve"> GV-02 (Alcance), GV-03 (Roles y Comité), GV-04 (Plan Anual), ID-01 (Activos), ID-03 (Riesgos), PR-08 (Acuerdos de Confidencialidad y Terceros), URCDP-05 (EIPD), MATRIZ-001 (Correspondencia Normativa).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