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ID-02 · Metodología de Análisis y Evaluación de Riesgos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Identificar (ID.RA — Evaluación de riesgos) · Gobernar (GV.RM — Estrategia de gestión de riesgos)</w:t>
      </w:r>
    </w:p>
    <w:p>
      <w:pPr>
        <w:ind w:left="432"/>
      </w:pPr>
      <w:r>
        <w:rPr>
          <w:i/>
          <w:color w:val="606060"/>
        </w:rPr>
        <w:t>**ISO/IEC 27001:** Cláusula 6.1 (Planificación del tratamiento de riesgos) · ISO/IEC 27005 (guía de gestión de riesgos)</w:t>
      </w:r>
    </w:p>
    <w:p>
      <w:pPr>
        <w:ind w:left="432"/>
      </w:pPr>
      <w:r>
        <w:rPr>
          <w:i/>
          <w:color w:val="606060"/>
        </w:rPr>
        <w:t>**BCU:** Circular 2227 (gestión del riesgo operacional) · EMG · Marco de Riesgos</w:t>
      </w:r>
    </w:p>
    <w:p>
      <w:pPr>
        <w:ind w:left="432"/>
      </w:pPr>
      <w:r>
        <w:rPr>
          <w:i/>
          <w:color w:val="606060"/>
        </w:rPr>
        <w:t>**URCDP:** Ley 18.331 art. 10 · Decreto 64/020 art. 6.f (Evaluación de Impacto de Protección de Datos)</w:t>
      </w:r>
    </w:p>
    <w:p>
      <w:pPr>
        <w:ind w:left="432"/>
      </w:pPr>
      <w:r>
        <w:rPr>
          <w:i/>
          <w:color w:val="606060"/>
        </w:rPr>
        <w:t>**Nivel del curso:** 🟡 Practicar · 🔴 Aplicar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La </w:t>
      </w:r>
      <w:r>
        <w:rPr>
          <w:b/>
        </w:rPr>
        <w:t>Metodología de Análisis y Evaluación de Riesgos</w:t>
      </w:r>
      <w:r>
        <w:t xml:space="preserve"> es el documento que define </w:t>
      </w:r>
      <w:r>
        <w:rPr>
          <w:b/>
        </w:rPr>
        <w:t>cómo el Banco mide sus riesgos de seguridad de la información</w:t>
      </w:r>
      <w:r>
        <w:t>. Establece las reglas del juego: qué escalas usar, cómo se combina probabilidad e impacto, qué significa cada nivel de riesgo y qué nivel es aceptable. Es el "juego de reglas" que luego se aplica en ID-03.</w:t>
      </w:r>
    </w:p>
    <w:p>
      <w:r>
        <w:t xml:space="preserve">Sin una metodología única, cada área mediría distinto y no se podrían comparar riesgos ni priorizar inversiones. El BCU, vía Circular 2227, exige gestionar el riesgo operacional de forma estructurada; Agesic pide un proceso de evaluación de riesgos documentado (ID.RA); y la URCDP exige medidas de seguridad "adecuadas al riesgo" de las bases con datos personales. La metodología es la evidencia de que existe </w:t>
      </w:r>
      <w:r>
        <w:rPr>
          <w:b/>
        </w:rPr>
        <w:t>un proceso</w:t>
      </w:r>
      <w:r>
        <w:t>, no decisiones aisladas.</w:t>
      </w:r>
    </w:p>
    <w:p>
      <w:r>
        <w:t xml:space="preserve">Esta metodología usa un </w:t>
      </w:r>
      <w:r>
        <w:rPr>
          <w:b/>
        </w:rPr>
        <w:t>enfoque cualitativo</w:t>
      </w:r>
      <w:r>
        <w:t xml:space="preserve"> (escalas de probabilidad e impacto de 1 a 5 y matriz de riesgo de 5×5), recomendado para empezar porque es entendible por la dirección, auditable y suficiente para un banco del tamaño del Banco. Puede complementarse con análisis cuantitativo (pérdida esperada en pesos) para los riesgos más altos.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 aplicable al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ID.RA (identificar, evaluar, priorizar riesgos); GV.RM (apetito de riesgo)</w:t>
            </w:r>
          </w:p>
        </w:tc>
        <w:tc>
          <w:tcPr>
            <w:tcW w:type="dxa" w:w="3216"/>
          </w:tcPr>
          <w:p>
            <w:r/>
            <w:r>
              <w:t>Evaluación de riesgos documentada, repetible y con criterios de priorización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 6.1, 8.2; ISO/IEC 27005</w:t>
            </w:r>
          </w:p>
        </w:tc>
        <w:tc>
          <w:tcPr>
            <w:tcW w:type="dxa" w:w="3216"/>
          </w:tcPr>
          <w:p>
            <w:r/>
            <w:r>
              <w:t>Metodología definida, criterios de aceptación y tratamiento documentados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2227; EMG · Marco de Riesgos</w:t>
            </w:r>
          </w:p>
        </w:tc>
        <w:tc>
          <w:tcPr>
            <w:tcW w:type="dxa" w:w="3216"/>
          </w:tcPr>
          <w:p>
            <w:r/>
            <w:r>
              <w:t>Gestión del riesgo operacional con identificación, medición y control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10; D. 64/020</w:t>
            </w:r>
          </w:p>
        </w:tc>
        <w:tc>
          <w:tcPr>
            <w:tcW w:type="dxa" w:w="3216"/>
          </w:tcPr>
          <w:p>
            <w:r/>
            <w:r>
              <w:t>Medidas proporcionales al riesgo; base de la Evaluación de Impacto de Protección de Datos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Confirmá el apetito de riesgo</w:t>
      </w:r>
      <w:r>
        <w:t xml:space="preserve"> con la Gerencia General y el Área de Riesgos: qué nivel de riesgo acepta el banco sin tratamiento adicional. Documentalo en el punto 5.</w:t>
      </w:r>
    </w:p>
    <w:p>
      <w:pPr>
        <w:pStyle w:val="ListNumber"/>
      </w:pPr>
      <w:r>
        <w:rPr>
          <w:b/>
        </w:rPr>
        <w:t>Adoptá las escalas</w:t>
      </w:r>
      <w:r>
        <w:t xml:space="preserve"> del punto 3 (probabilidad e impacto de 1 a 5) y la matriz de calor del punto 4. No las modifiques sin aprobación del Comité.</w:t>
      </w:r>
    </w:p>
    <w:p>
      <w:pPr>
        <w:pStyle w:val="ListNumber"/>
      </w:pPr>
      <w:r>
        <w:rPr>
          <w:b/>
        </w:rPr>
        <w:t>Definí los criterios de impacto</w:t>
      </w:r>
      <w:r>
        <w:t xml:space="preserve"> específicos del Banco: reputacional (prensa), regulatorio (BCU/URCDP), financiero (pérdida en pesos), operacional (horas de indisponibilidad) y legal.</w:t>
      </w:r>
    </w:p>
    <w:p>
      <w:pPr>
        <w:pStyle w:val="ListNumber"/>
      </w:pPr>
      <w:r>
        <w:rPr>
          <w:b/>
        </w:rPr>
        <w:t>Calibrá</w:t>
      </w:r>
      <w:r>
        <w:t xml:space="preserve"> los niveles con un taller: que distintas áreas entiendan igual qué es "impacto 4" o "probabilidad 3". La calibración evita que un área sobrestime todo.</w:t>
      </w:r>
    </w:p>
    <w:p>
      <w:pPr>
        <w:pStyle w:val="ListNumber"/>
      </w:pPr>
      <w:r>
        <w:rPr>
          <w:b/>
        </w:rPr>
        <w:t>Definí los roles</w:t>
      </w:r>
      <w:r>
        <w:t xml:space="preserve"> del proceso (punto 6): quién identifica riesgos, quién los evalúa, quién decide el tratamiento.</w:t>
      </w:r>
    </w:p>
    <w:p>
      <w:pPr>
        <w:pStyle w:val="ListNumber"/>
      </w:pPr>
      <w:r>
        <w:rPr>
          <w:b/>
        </w:rPr>
        <w:t>Fijá la frecuencia</w:t>
      </w:r>
      <w:r>
        <w:t xml:space="preserve"> de re-evaluación: al menos anual, y cada vez que cambie algo relevante (nuevo sistema, nueva norma, incidente mayor).</w:t>
      </w:r>
    </w:p>
    <w:p>
      <w:pPr>
        <w:pStyle w:val="ListNumber"/>
      </w:pPr>
      <w:r>
        <w:rPr>
          <w:b/>
        </w:rPr>
        <w:t>Consultá en el Banco:</w:t>
      </w:r>
      <w:r>
        <w:t xml:space="preserve"> Área Riesgos — Jefe de Departamento Riesgos No Financieros (Melissa Moraes) para calibrar con el riesgo operacional existente; División TI (Bernardo Ureta) por el riesgo tecnológico; y el Comité de Seguridad de la Información para aprobar la metodología.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ID-02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Metodología de Análisis y Evaluación de Riesgos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con el Área de Riesgos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Gerencia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Establecer el método único y repetible para identificar, analizar y evaluar los riesgos de seguridad de la información del Banco, permitiendo compararlos, priorizarlos y decidir su tratamiento con criterios objetivos.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todos los activos del inventario (ID-01) dentro del alcance del SGSI, a los procesos críticos y a los servicios de terceros. Incluye los riesgos sobre datos personales de los clientes.</w:t>
      </w:r>
    </w:p>
    <w:p>
      <w:pPr>
        <w:pStyle w:val="Heading3"/>
      </w:pPr>
      <w:r>
        <w:rPr>
          <w:color w:val="1F3B63"/>
        </w:rPr>
        <w:t>3. Escalas de evaluación</w:t>
      </w:r>
    </w:p>
    <w:p>
      <w:r>
        <w:rPr>
          <w:b/>
        </w:rPr>
        <w:t>Escala de probabilidad (qué tan posible es que ocurra):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3216"/>
          </w:tcPr>
          <w:p>
            <w:r/>
            <w:r>
              <w:t>Muy baja</w:t>
            </w:r>
          </w:p>
        </w:tc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Extremadamente improbable; no se conoce caso en el sector</w:t>
            </w:r>
          </w:p>
        </w:tc>
      </w:tr>
      <w:tr>
        <w:tc>
          <w:tcPr>
            <w:tcW w:type="dxa" w:w="3216"/>
          </w:tcPr>
          <w:p>
            <w:r/>
            <w:r>
              <w:t>Baja</w:t>
            </w:r>
          </w:p>
        </w:tc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Poco probable; se requiere una combinación de fallas</w:t>
            </w:r>
          </w:p>
        </w:tc>
      </w:tr>
      <w:tr>
        <w:tc>
          <w:tcPr>
            <w:tcW w:type="dxa" w:w="3216"/>
          </w:tcPr>
          <w:p>
            <w:r/>
            <w:r>
              <w:t>Media</w:t>
            </w:r>
          </w:p>
        </w:tc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Posible; existen antecedentes o condiciones favorables</w:t>
            </w:r>
          </w:p>
        </w:tc>
      </w:tr>
      <w:tr>
        <w:tc>
          <w:tcPr>
            <w:tcW w:type="dxa" w:w="3216"/>
          </w:tcPr>
          <w:p>
            <w:r/>
            <w:r>
              <w:t>Alta</w:t>
            </w:r>
          </w:p>
        </w:tc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Probable; las condiciones actuales lo facilitan</w:t>
            </w:r>
          </w:p>
        </w:tc>
      </w:tr>
      <w:tr>
        <w:tc>
          <w:tcPr>
            <w:tcW w:type="dxa" w:w="3216"/>
          </w:tcPr>
          <w:p>
            <w:r/>
            <w:r>
              <w:t>Muy alta</w:t>
            </w:r>
          </w:p>
        </w:tc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Casi seguro; ya ocurrió o las condiciones son evidentes</w:t>
            </w:r>
          </w:p>
        </w:tc>
      </w:tr>
    </w:tbl>
    <w:p>
      <w:r>
        <w:rPr>
          <w:b/>
        </w:rPr>
        <w:t>Escala de impacto (qué tan grave es si ocurre):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Impacto financiero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Indisponibilidad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Impacto reputacional/regulatorio</w:t>
            </w:r>
          </w:p>
        </w:tc>
      </w:tr>
      <w:tr>
        <w:tc>
          <w:tcPr>
            <w:tcW w:type="dxa" w:w="1930"/>
          </w:tcPr>
          <w:p>
            <w:r/>
            <w:r>
              <w:t>Insignificante</w:t>
            </w:r>
          </w:p>
        </w:tc>
        <w:tc>
          <w:tcPr>
            <w:tcW w:type="dxa" w:w="1930"/>
          </w:tcPr>
          <w:p>
            <w:r/>
            <w:r>
              <w:t>1</w:t>
            </w:r>
          </w:p>
        </w:tc>
        <w:tc>
          <w:tcPr>
            <w:tcW w:type="dxa" w:w="1930"/>
          </w:tcPr>
          <w:p>
            <w:r/>
            <w:r>
              <w:t>Menor a [COMPLETAR: USD 5.000]</w:t>
            </w:r>
          </w:p>
        </w:tc>
        <w:tc>
          <w:tcPr>
            <w:tcW w:type="dxa" w:w="1930"/>
          </w:tcPr>
          <w:p>
            <w:r/>
            <w:r>
              <w:t>Hasta 1 hora</w:t>
            </w:r>
          </w:p>
        </w:tc>
        <w:tc>
          <w:tcPr>
            <w:tcW w:type="dxa" w:w="1930"/>
          </w:tcPr>
          <w:p>
            <w:r/>
            <w:r>
              <w:t>Sin repercusión relevante</w:t>
            </w:r>
          </w:p>
        </w:tc>
      </w:tr>
      <w:tr>
        <w:tc>
          <w:tcPr>
            <w:tcW w:type="dxa" w:w="1930"/>
          </w:tcPr>
          <w:p>
            <w:r/>
            <w:r>
              <w:t>Menor</w:t>
            </w:r>
          </w:p>
        </w:tc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t>[COMPLETAR: USD 5.000 a 50.000]</w:t>
            </w:r>
          </w:p>
        </w:tc>
        <w:tc>
          <w:tcPr>
            <w:tcW w:type="dxa" w:w="1930"/>
          </w:tcPr>
          <w:p>
            <w:r/>
            <w:r>
              <w:t>Hasta 4 horas</w:t>
            </w:r>
          </w:p>
        </w:tc>
        <w:tc>
          <w:tcPr>
            <w:tcW w:type="dxa" w:w="1930"/>
          </w:tcPr>
          <w:p>
            <w:r/>
            <w:r>
              <w:t>Queja aislada; nota interna del supervisor</w:t>
            </w:r>
          </w:p>
        </w:tc>
      </w:tr>
      <w:tr>
        <w:tc>
          <w:tcPr>
            <w:tcW w:type="dxa" w:w="1930"/>
          </w:tcPr>
          <w:p>
            <w:r/>
            <w:r>
              <w:t>Moderado</w:t>
            </w:r>
          </w:p>
        </w:tc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t>[COMPLETAR: USD 50.000 a 500.000]</w:t>
            </w:r>
          </w:p>
        </w:tc>
        <w:tc>
          <w:tcPr>
            <w:tcW w:type="dxa" w:w="1930"/>
          </w:tcPr>
          <w:p>
            <w:r/>
            <w:r>
              <w:t>Hasta 12 horas</w:t>
            </w:r>
          </w:p>
        </w:tc>
        <w:tc>
          <w:tcPr>
            <w:tcW w:type="dxa" w:w="1930"/>
          </w:tcPr>
          <w:p>
            <w:r/>
            <w:r>
              <w:t>Reclamos de clientes; requerimiento BCU/URCDP</w:t>
            </w:r>
          </w:p>
        </w:tc>
      </w:tr>
      <w:tr>
        <w:tc>
          <w:tcPr>
            <w:tcW w:type="dxa" w:w="1930"/>
          </w:tcPr>
          <w:p>
            <w:r/>
            <w:r>
              <w:t>Mayor</w:t>
            </w:r>
          </w:p>
        </w:tc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>[COMPLETAR: USD 500.000 a 2.000.000]</w:t>
            </w:r>
          </w:p>
        </w:tc>
        <w:tc>
          <w:tcPr>
            <w:tcW w:type="dxa" w:w="1930"/>
          </w:tcPr>
          <w:p>
            <w:r/>
            <w:r>
              <w:t>Hasta 24 horas</w:t>
            </w:r>
          </w:p>
        </w:tc>
        <w:tc>
          <w:tcPr>
            <w:tcW w:type="dxa" w:w="1930"/>
          </w:tcPr>
          <w:p>
            <w:r/>
            <w:r>
              <w:t>Cobertura de prensa; sanción o plan de acción del supervisor</w:t>
            </w:r>
          </w:p>
        </w:tc>
      </w:tr>
      <w:tr>
        <w:tc>
          <w:tcPr>
            <w:tcW w:type="dxa" w:w="1930"/>
          </w:tcPr>
          <w:p>
            <w:r/>
            <w:r>
              <w:t>Catastrófico</w:t>
            </w:r>
          </w:p>
        </w:tc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t>Más de [COMPLETAR: USD 2.000.000]</w:t>
            </w:r>
          </w:p>
        </w:tc>
        <w:tc>
          <w:tcPr>
            <w:tcW w:type="dxa" w:w="1930"/>
          </w:tcPr>
          <w:p>
            <w:r/>
            <w:r>
              <w:t>Más de 24 horas</w:t>
            </w:r>
          </w:p>
        </w:tc>
        <w:tc>
          <w:tcPr>
            <w:tcW w:type="dxa" w:w="1930"/>
          </w:tcPr>
          <w:p>
            <w:r/>
            <w:r>
              <w:t>Pérdida de confianza; sanción grave o intervención</w:t>
            </w:r>
          </w:p>
        </w:tc>
      </w:tr>
    </w:tbl>
    <w:p>
      <w:pPr>
        <w:pStyle w:val="Heading3"/>
      </w:pPr>
      <w:r>
        <w:rPr>
          <w:color w:val="1F3B63"/>
        </w:rPr>
        <w:t>4. Matriz de riesgo (matriz de calor 5×5)</w:t>
      </w:r>
    </w:p>
    <w:p>
      <w:r>
        <w:t>Riesgo = Probabilidad × Impacto. La celda determina el nivel: verde = bajo, amarillo = medio, naranja = alto, rojo = crítico.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Probabilidad \ Impacto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1 Insignificante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2 Menor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3 Moderado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4 Mayor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5 Catastrófico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5 Muy alta</w:t>
            </w:r>
          </w:p>
        </w:tc>
        <w:tc>
          <w:tcPr>
            <w:tcW w:type="dxa" w:w="1608"/>
          </w:tcPr>
          <w:p>
            <w:r/>
            <w:r>
              <w:t>5 (Medio)</w:t>
            </w:r>
          </w:p>
        </w:tc>
        <w:tc>
          <w:tcPr>
            <w:tcW w:type="dxa" w:w="1608"/>
          </w:tcPr>
          <w:p>
            <w:r/>
            <w:r>
              <w:t>10 (Alto)</w:t>
            </w:r>
          </w:p>
        </w:tc>
        <w:tc>
          <w:tcPr>
            <w:tcW w:type="dxa" w:w="1608"/>
          </w:tcPr>
          <w:p>
            <w:r/>
            <w:r>
              <w:t>15 (Alto)</w:t>
            </w:r>
          </w:p>
        </w:tc>
        <w:tc>
          <w:tcPr>
            <w:tcW w:type="dxa" w:w="1608"/>
          </w:tcPr>
          <w:p>
            <w:r/>
            <w:r>
              <w:t>20 (Crítico)</w:t>
            </w:r>
          </w:p>
        </w:tc>
        <w:tc>
          <w:tcPr>
            <w:tcW w:type="dxa" w:w="1608"/>
          </w:tcPr>
          <w:p>
            <w:r/>
            <w:r>
              <w:t>25 (Crítico)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4 Alta</w:t>
            </w:r>
          </w:p>
        </w:tc>
        <w:tc>
          <w:tcPr>
            <w:tcW w:type="dxa" w:w="1608"/>
          </w:tcPr>
          <w:p>
            <w:r/>
            <w:r>
              <w:t>4 (Medio)</w:t>
            </w:r>
          </w:p>
        </w:tc>
        <w:tc>
          <w:tcPr>
            <w:tcW w:type="dxa" w:w="1608"/>
          </w:tcPr>
          <w:p>
            <w:r/>
            <w:r>
              <w:t>8 (Alto)</w:t>
            </w:r>
          </w:p>
        </w:tc>
        <w:tc>
          <w:tcPr>
            <w:tcW w:type="dxa" w:w="1608"/>
          </w:tcPr>
          <w:p>
            <w:r/>
            <w:r>
              <w:t>12 (Alto)</w:t>
            </w:r>
          </w:p>
        </w:tc>
        <w:tc>
          <w:tcPr>
            <w:tcW w:type="dxa" w:w="1608"/>
          </w:tcPr>
          <w:p>
            <w:r/>
            <w:r>
              <w:t>16 (Crítico)</w:t>
            </w:r>
          </w:p>
        </w:tc>
        <w:tc>
          <w:tcPr>
            <w:tcW w:type="dxa" w:w="1608"/>
          </w:tcPr>
          <w:p>
            <w:r/>
            <w:r>
              <w:t>20 (Crítico)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3 Media</w:t>
            </w:r>
          </w:p>
        </w:tc>
        <w:tc>
          <w:tcPr>
            <w:tcW w:type="dxa" w:w="1608"/>
          </w:tcPr>
          <w:p>
            <w:r/>
            <w:r>
              <w:t>3 (Bajo)</w:t>
            </w:r>
          </w:p>
        </w:tc>
        <w:tc>
          <w:tcPr>
            <w:tcW w:type="dxa" w:w="1608"/>
          </w:tcPr>
          <w:p>
            <w:r/>
            <w:r>
              <w:t>6 (Medio)</w:t>
            </w:r>
          </w:p>
        </w:tc>
        <w:tc>
          <w:tcPr>
            <w:tcW w:type="dxa" w:w="1608"/>
          </w:tcPr>
          <w:p>
            <w:r/>
            <w:r>
              <w:t>9 (Alto)</w:t>
            </w:r>
          </w:p>
        </w:tc>
        <w:tc>
          <w:tcPr>
            <w:tcW w:type="dxa" w:w="1608"/>
          </w:tcPr>
          <w:p>
            <w:r/>
            <w:r>
              <w:t>12 (Alto)</w:t>
            </w:r>
          </w:p>
        </w:tc>
        <w:tc>
          <w:tcPr>
            <w:tcW w:type="dxa" w:w="1608"/>
          </w:tcPr>
          <w:p>
            <w:r/>
            <w:r>
              <w:t>15 (Crítico)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2 Baja</w:t>
            </w:r>
          </w:p>
        </w:tc>
        <w:tc>
          <w:tcPr>
            <w:tcW w:type="dxa" w:w="1608"/>
          </w:tcPr>
          <w:p>
            <w:r/>
            <w:r>
              <w:t>2 (Bajo)</w:t>
            </w:r>
          </w:p>
        </w:tc>
        <w:tc>
          <w:tcPr>
            <w:tcW w:type="dxa" w:w="1608"/>
          </w:tcPr>
          <w:p>
            <w:r/>
            <w:r>
              <w:t>4 (Medio)</w:t>
            </w:r>
          </w:p>
        </w:tc>
        <w:tc>
          <w:tcPr>
            <w:tcW w:type="dxa" w:w="1608"/>
          </w:tcPr>
          <w:p>
            <w:r/>
            <w:r>
              <w:t>6 (Medio)</w:t>
            </w:r>
          </w:p>
        </w:tc>
        <w:tc>
          <w:tcPr>
            <w:tcW w:type="dxa" w:w="1608"/>
          </w:tcPr>
          <w:p>
            <w:r/>
            <w:r>
              <w:t>8 (Alto)</w:t>
            </w:r>
          </w:p>
        </w:tc>
        <w:tc>
          <w:tcPr>
            <w:tcW w:type="dxa" w:w="1608"/>
          </w:tcPr>
          <w:p>
            <w:r/>
            <w:r>
              <w:t>10 (Alto)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/>
              </w:rPr>
              <w:t>1 Muy baja</w:t>
            </w:r>
          </w:p>
        </w:tc>
        <w:tc>
          <w:tcPr>
            <w:tcW w:type="dxa" w:w="1608"/>
          </w:tcPr>
          <w:p>
            <w:r/>
            <w:r>
              <w:t>1 (Bajo)</w:t>
            </w:r>
          </w:p>
        </w:tc>
        <w:tc>
          <w:tcPr>
            <w:tcW w:type="dxa" w:w="1608"/>
          </w:tcPr>
          <w:p>
            <w:r/>
            <w:r>
              <w:t>2 (Bajo)</w:t>
            </w:r>
          </w:p>
        </w:tc>
        <w:tc>
          <w:tcPr>
            <w:tcW w:type="dxa" w:w="1608"/>
          </w:tcPr>
          <w:p>
            <w:r/>
            <w:r>
              <w:t>3 (Bajo)</w:t>
            </w:r>
          </w:p>
        </w:tc>
        <w:tc>
          <w:tcPr>
            <w:tcW w:type="dxa" w:w="1608"/>
          </w:tcPr>
          <w:p>
            <w:r/>
            <w:r>
              <w:t>4 (Medio)</w:t>
            </w:r>
          </w:p>
        </w:tc>
        <w:tc>
          <w:tcPr>
            <w:tcW w:type="dxa" w:w="1608"/>
          </w:tcPr>
          <w:p>
            <w:r/>
            <w:r>
              <w:t>5 (Medio)</w:t>
            </w:r>
          </w:p>
        </w:tc>
      </w:tr>
    </w:tbl>
    <w:p>
      <w:r>
        <w:rPr>
          <w:b/>
        </w:rPr>
        <w:t>Interpretación:</w:t>
      </w:r>
      <w:r>
        <w:t xml:space="preserve"> los riesgos en zonas </w:t>
      </w:r>
      <w:r>
        <w:rPr>
          <w:b/>
        </w:rPr>
        <w:t>roja</w:t>
      </w:r>
      <w:r>
        <w:t xml:space="preserve"> (≥ 15) y </w:t>
      </w:r>
      <w:r>
        <w:rPr>
          <w:b/>
        </w:rPr>
        <w:t>naranja</w:t>
      </w:r>
      <w:r>
        <w:t xml:space="preserve"> (≥ 8) requieren tratamiento prioritario (ID-04). Los </w:t>
      </w:r>
      <w:r>
        <w:rPr>
          <w:b/>
        </w:rPr>
        <w:t>verdes</w:t>
      </w:r>
      <w:r>
        <w:t xml:space="preserve"> (≤ 4) pueden aceptarse documentadamente si están dentro del apetito.</w:t>
      </w:r>
    </w:p>
    <w:p>
      <w:pPr>
        <w:pStyle w:val="Heading3"/>
      </w:pPr>
      <w:r>
        <w:rPr>
          <w:color w:val="1F3B63"/>
        </w:rPr>
        <w:t>5. Apetito y criterios de aceptación de riesgo</w:t>
      </w:r>
    </w:p>
    <w:p>
      <w:pPr>
        <w:pStyle w:val="ListBullet"/>
      </w:pPr>
      <w:r>
        <w:rPr>
          <w:b/>
        </w:rPr>
        <w:t>Apetito de riesgo del Banco:</w:t>
      </w:r>
      <w:r>
        <w:t xml:space="preserve"> [COMPLETAR: ej. no aceptar riesgos críticos en activos que soportan pagos o datos personales; nivel máximo aceptable sin tratamiento: medio (amarillo)].</w:t>
      </w:r>
    </w:p>
    <w:p>
      <w:pPr>
        <w:pStyle w:val="ListBullet"/>
      </w:pPr>
      <w:r>
        <w:rPr>
          <w:b/>
        </w:rPr>
        <w:t>Criterio de aceptación:</w:t>
      </w:r>
      <w:r>
        <w:t xml:space="preserve"> un riesgo puede aceptarse solo si el propietario del activo lo firma, el RSI lo evalúa y queda registrado con fecha de revisión. Los riesgos que afecten el sistema de pagos o datos personales sensibles </w:t>
      </w:r>
      <w:r>
        <w:rPr>
          <w:b/>
        </w:rPr>
        <w:t>nunca</w:t>
      </w:r>
      <w:r>
        <w:t xml:space="preserve"> se aceptan en nivel alto o superior.</w:t>
      </w:r>
    </w:p>
    <w:p>
      <w:pPr>
        <w:pStyle w:val="Heading3"/>
      </w:pPr>
      <w:r>
        <w:rPr>
          <w:color w:val="1F3B63"/>
        </w:rPr>
        <w:t>6. Roles en el proceso de gestión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Propietario del activo</w:t>
            </w:r>
          </w:p>
        </w:tc>
        <w:tc>
          <w:tcPr>
            <w:tcW w:type="dxa" w:w="4824"/>
          </w:tcPr>
          <w:p>
            <w:r/>
            <w:r>
              <w:t>Identifica riesgos de su activo, aporta datos y firma el tratamiento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Coordina la evaluación, consolida el registro de riesgos y controla el plan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Área de Riesgos (RNF)</w:t>
            </w:r>
          </w:p>
        </w:tc>
        <w:tc>
          <w:tcPr>
            <w:tcW w:type="dxa" w:w="4824"/>
          </w:tcPr>
          <w:p>
            <w:r/>
            <w:r>
              <w:t>Valida la calibración, los criterios y el alineamiento con el riesgo operacional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División TI</w:t>
            </w:r>
          </w:p>
        </w:tc>
        <w:tc>
          <w:tcPr>
            <w:tcW w:type="dxa" w:w="4824"/>
          </w:tcPr>
          <w:p>
            <w:r/>
            <w:r>
              <w:t>Aporta la información técnica de amenazas y vulnerabilidades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</w:t>
            </w:r>
          </w:p>
        </w:tc>
        <w:tc>
          <w:tcPr>
            <w:tcW w:type="dxa" w:w="4824"/>
          </w:tcPr>
          <w:p>
            <w:r/>
            <w:r>
              <w:t>Decide el tratamiento de los riesgos altos y críticos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Gerencia General / Directorio</w:t>
            </w:r>
          </w:p>
        </w:tc>
        <w:tc>
          <w:tcPr>
            <w:tcW w:type="dxa" w:w="4824"/>
          </w:tcPr>
          <w:p>
            <w:r/>
            <w:r>
              <w:t>Aprueba el apetito de riesgo y el plan de tratamiento</w:t>
            </w:r>
          </w:p>
        </w:tc>
      </w:tr>
    </w:tbl>
    <w:p>
      <w:pPr>
        <w:pStyle w:val="Heading3"/>
      </w:pPr>
      <w:r>
        <w:rPr>
          <w:color w:val="1F3B63"/>
        </w:rPr>
        <w:t>7. Frecuencia de re-evaluación</w:t>
      </w:r>
    </w:p>
    <w:p>
      <w:r>
        <w:t>El análisis se re-ejecuta [COMPLETAR: anualmente, y de forma extraordinaria ante: incorporación de un sistema mayor, cambio en el perfil de riesgo, incidente relevante, nuevo requerimiento normativo o auditoría].</w:t>
      </w:r>
    </w:p>
    <w:p>
      <w:pPr>
        <w:pStyle w:val="Heading3"/>
      </w:pPr>
      <w:r>
        <w:rPr>
          <w:color w:val="1F3B63"/>
        </w:rPr>
        <w:t>8.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 la metodología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Gerencia General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de cómo quedaría calibrado el impacto para el Banco (adaptá los montos y horarios a la realidad del banco).</w:t>
      </w:r>
    </w:p>
    <w:p>
      <w:r>
        <w:rPr>
          <w:b/>
        </w:rPr>
        <w:t>Impacto financiero (ejemplo):</w:t>
      </w:r>
      <w:r>
        <w:t xml:space="preserve"> 1: menor a USD 5.000 · 2: hasta USD 50.000 · 3: hasta USD 500.000 · 4: hasta USD 2.000.000 · 5: más de USD 2.000.000 (incluye multas, gastos de respuesta y pérdida de operación).</w:t>
      </w:r>
    </w:p>
    <w:p>
      <w:r>
        <w:rPr>
          <w:b/>
        </w:rPr>
        <w:t>Indisponibilidad (ejemplo, alineada al perfil Avanzado del MCU 5.0):</w:t>
      </w:r>
      <w:r>
        <w:t xml:space="preserve"> el Banco tolera como máximo 24 horas de indisponibilidad de servicios críticos. Por eso una caída de más de 24 horas del core se califica de impacto 5, y de hasta 12 horas, impacto 3.</w:t>
      </w:r>
    </w:p>
    <w:p>
      <w:r>
        <w:rPr>
          <w:b/>
        </w:rPr>
        <w:t>Apetito (ejemplo):</w:t>
      </w:r>
      <w:r>
        <w:t xml:space="preserve"> el Comité declara apetito "moderado" para sistemas internos, y apetito "bajo" (no aceptar niveles alto/crítico) para todo lo que toque el sistema de pagos, el ahorro de los clientes y los datos personales. Todo riesgo crítico se reporta al Directorio en el informe semestral del RSI (GV-06).</w:t>
      </w:r>
    </w:p>
    <w:p>
      <w:r>
        <w:rPr>
          <w:b/>
        </w:rPr>
        <w:t>Uso de la matriz (ejemplo):</w:t>
      </w:r>
      <w:r>
        <w:t xml:space="preserve"> un riesgo con probabilidad 3 (media) e impacto 4 (mayor) da 12 → </w:t>
      </w:r>
      <w:r>
        <w:rPr>
          <w:b/>
        </w:rPr>
        <w:t>Alto</w:t>
      </w:r>
      <w:r>
        <w:t xml:space="preserve"> → entra en el plan de tratamiento (ID-04) con responsable y plazo. Un riesgo con probabilidad 1 e impacto 3 da 3 → </w:t>
      </w:r>
      <w:r>
        <w:rPr>
          <w:b/>
        </w:rPr>
        <w:t>Bajo</w:t>
      </w:r>
      <w:r>
        <w:t xml:space="preserve"> → puede aceptarse por el propietario del activo.</w:t>
      </w:r>
    </w:p>
    <w:p>
      <w:r>
        <w:rPr>
          <w:b/>
        </w:rPr>
        <w:t>Documentos relacionados:</w:t>
      </w:r>
      <w:r>
        <w:t xml:space="preserve"> ID-01 (Inventario de activos) · ID-03 (Análisis de riesgos) · ID-04 (Plan de tratamiento) · BCU-02 (Marco de gestión de riesgos) · URCDP-05 (EIPD) · GV-06 (Informe del RSI).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