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ID-03 · Análisis de Riesgos del caso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Identificar (ID.RA — Evaluación de riesgos)</w:t>
      </w:r>
    </w:p>
    <w:p>
      <w:pPr>
        <w:ind w:left="432"/>
      </w:pPr>
      <w:r>
        <w:rPr>
          <w:i/>
          <w:color w:val="606060"/>
        </w:rPr>
        <w:t>**ISO/IEC 27001:** Cláusula 6.1.2 (Evaluación de riesgos de seguridad de la información) · Cláusula 8.2</w:t>
      </w:r>
    </w:p>
    <w:p>
      <w:pPr>
        <w:ind w:left="432"/>
      </w:pPr>
      <w:r>
        <w:rPr>
          <w:i/>
          <w:color w:val="606060"/>
        </w:rPr>
        <w:t>**BCU:** Circular 2227 (riesgo operacional) · EMG · Marco de Riesgos</w:t>
      </w:r>
    </w:p>
    <w:p>
      <w:pPr>
        <w:ind w:left="432"/>
      </w:pPr>
      <w:r>
        <w:rPr>
          <w:i/>
          <w:color w:val="606060"/>
        </w:rPr>
        <w:t>**URCDP:** Ley 18.331 art. 10 (medidas proporcionales al riesgo) · Decreto 64/020</w:t>
      </w:r>
    </w:p>
    <w:p>
      <w:pPr>
        <w:ind w:left="432"/>
      </w:pPr>
      <w:r>
        <w:rPr>
          <w:i/>
          <w:color w:val="606060"/>
        </w:rPr>
        <w:t>**Nivel del curso:** 🟡 Practicar · 🔴 Aplicar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Análisis de Riesgos del caso Banco</w:t>
      </w:r>
      <w:r>
        <w:t xml:space="preserve"> es la </w:t>
      </w:r>
      <w:r>
        <w:rPr>
          <w:b/>
        </w:rPr>
        <w:t>aplicación concreta</w:t>
      </w:r>
      <w:r>
        <w:t xml:space="preserve"> de la metodología ID-02 a los activos reales del banco. Mientras ID-02 dice "cómo medir", este documento entrega el </w:t>
      </w:r>
      <w:r>
        <w:rPr>
          <w:b/>
        </w:rPr>
        <w:t>registro de riesgos</w:t>
      </w:r>
      <w:r>
        <w:t>: cada riesgo identificado, con su amenaza, vulnerabilidad, probabilidad, impacto, nivel de riesgo calculado y el tratamiento propuesto. Es el resultado del trabajo de campo.</w:t>
      </w:r>
    </w:p>
    <w:p>
      <w:r>
        <w:t xml:space="preserve">Es el documento que más le interesa a los supervisores: demuestra que el Banco </w:t>
      </w:r>
      <w:r>
        <w:rPr>
          <w:b/>
        </w:rPr>
        <w:t>conoce sus principales riesgos de ciberseguridad y tiene un orden de prioridad</w:t>
      </w:r>
      <w:r>
        <w:t xml:space="preserve"> para atacarlos. El BCU lo evalúa como parte del riesgo operacional (Circ. 2227), Agesic lo cruza con el perfil de ciberseguridad (ID-05) y la URCDP lo usa como evidencia de que las medidas de protección de datos personales son "adecuadas al riesgo" (art. 10).</w:t>
      </w:r>
    </w:p>
    <w:p>
      <w:r>
        <w:t xml:space="preserve">El registro de riesgos es un </w:t>
      </w:r>
      <w:r>
        <w:rPr>
          <w:b/>
        </w:rPr>
        <w:t>documento vivo</w:t>
      </w:r>
      <w:r>
        <w:t>: se actualiza cada vez que cambia la exposición (nueva amenaza, nuevo sistema, incidente, cambio normativo) y siempre en la re-evaluación anual. Un riesgo que no se revisa deja de ser gestión y pasa a ser burocracia.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 aplicable al Banco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ID.RA-01 a ID.RA-06</w:t>
            </w:r>
          </w:p>
        </w:tc>
        <w:tc>
          <w:tcPr>
            <w:tcW w:type="dxa" w:w="3216"/>
          </w:tcPr>
          <w:p>
            <w:r/>
            <w:r>
              <w:t>Identificar amenazas y vulnerabilidades, evaluar el impacto y priorizar los riesgos de los activos críticos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6.1.2, 8.2</w:t>
            </w:r>
          </w:p>
        </w:tc>
        <w:tc>
          <w:tcPr>
            <w:tcW w:type="dxa" w:w="3216"/>
          </w:tcPr>
          <w:p>
            <w:r/>
            <w:r>
              <w:t>Evaluación de riesgos que considere amenazas, vulnerabilidades y consecuencias, y produzca criterios y niveles de riesgo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</w:t>
            </w:r>
          </w:p>
        </w:tc>
        <w:tc>
          <w:tcPr>
            <w:tcW w:type="dxa" w:w="3216"/>
          </w:tcPr>
          <w:p>
            <w:r/>
            <w:r>
              <w:t>Identificación y medición continua del riesgo operacional de los procesos y sistemas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</w:t>
            </w:r>
          </w:p>
        </w:tc>
        <w:tc>
          <w:tcPr>
            <w:tcW w:type="dxa" w:w="3216"/>
          </w:tcPr>
          <w:p>
            <w:r/>
            <w:r>
              <w:t>Riesgos sobre datos personales evaluados para dimensionar las medidas de seguridad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Tomá la metodología aprobada (ID-02)</w:t>
      </w:r>
      <w:r>
        <w:t xml:space="preserve"> y el inventario (ID-01): los riesgos se evalúan sobre activos reales.</w:t>
      </w:r>
    </w:p>
    <w:p>
      <w:pPr>
        <w:pStyle w:val="ListNumber"/>
      </w:pPr>
      <w:r>
        <w:rPr>
          <w:b/>
        </w:rPr>
        <w:t>Seleccioná los activos a evaluar en esta iteración:</w:t>
      </w:r>
      <w:r>
        <w:t xml:space="preserve"> priorizá los críticos (core, sistema de pagos, Banco En Línea, base de clientes, expedientes, datacenter, red de sucursales). No hace falta evaluar todo el inventario en la primera pasada.</w:t>
      </w:r>
    </w:p>
    <w:p>
      <w:pPr>
        <w:pStyle w:val="ListNumber"/>
      </w:pPr>
      <w:r>
        <w:rPr>
          <w:b/>
        </w:rPr>
        <w:t>Para cada activo, identificá la amenaza</w:t>
      </w:r>
      <w:r>
        <w:t xml:space="preserve"> (¿qué puede pasar? — ransomware, filtración, falla, fraude) y la </w:t>
      </w:r>
      <w:r>
        <w:rPr>
          <w:b/>
        </w:rPr>
        <w:t>vulnerabilidad</w:t>
      </w:r>
      <w:r>
        <w:t xml:space="preserve"> (¿qué lo habilita? — falta de parches, accesos débiles, tercero sin cláusulas, etc.).</w:t>
      </w:r>
    </w:p>
    <w:p>
      <w:pPr>
        <w:pStyle w:val="ListNumber"/>
      </w:pPr>
      <w:r>
        <w:rPr>
          <w:b/>
        </w:rPr>
        <w:t>Calificá probabilidad (1-5) e impacto (1-5)</w:t>
      </w:r>
      <w:r>
        <w:t xml:space="preserve"> con la escala de ID-02 y calculá el nivel de riesgo con la matriz 5×5.</w:t>
      </w:r>
    </w:p>
    <w:p>
      <w:pPr>
        <w:pStyle w:val="ListNumber"/>
      </w:pPr>
      <w:r>
        <w:rPr>
          <w:b/>
        </w:rPr>
        <w:t>Proponé el tratamiento</w:t>
      </w:r>
      <w:r>
        <w:t xml:space="preserve"> por riesgo (mitigar / transferir / evitar / aceptar — detalle en ID-04), el responsable y el plazo. No escribas "mitigar" sin decir con qué control.</w:t>
      </w:r>
    </w:p>
    <w:p>
      <w:pPr>
        <w:pStyle w:val="ListNumber"/>
      </w:pPr>
      <w:r>
        <w:rPr>
          <w:b/>
        </w:rPr>
        <w:t>Validá con el propietario del activo</w:t>
      </w:r>
      <w:r>
        <w:t xml:space="preserve"> cada riesgo y su tratamiento; los niveles altos y críticos se revisan en el Comité de Seguridad.</w:t>
      </w:r>
    </w:p>
    <w:p>
      <w:pPr>
        <w:pStyle w:val="ListNumber"/>
      </w:pPr>
      <w:r>
        <w:rPr>
          <w:b/>
        </w:rPr>
        <w:t>Consultá en el Banco:</w:t>
      </w:r>
      <w:r>
        <w:t xml:space="preserve"> División TI (Bernardo Ureta, Daniel Herrera) por amenazas y vulnerabilidades técnicas; Área Riesgos (Melissa Moraes) por la calibración; los propietarios de cada proceso; y el DPD por los riesgos sobre datos personales.</w:t>
      </w:r>
    </w:p>
    <w:p>
      <w:pPr>
        <w:pStyle w:val="ListNumber"/>
      </w:pPr>
      <w:r>
        <w:rPr>
          <w:b/>
        </w:rPr>
        <w:t>Registrá todo en la tabla del punto 4</w:t>
      </w:r>
      <w:r>
        <w:t xml:space="preserve"> y subilo al repositorio SGSI. Cada riesgo recibe un ID único.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ID-03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Análisis de Riesgos del caso Banco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Área de Riesgos ·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 o ante cambios]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Identificar, analizar y priorizar los riesgos de seguridad de la información del Banco sobre sus activos críticos, aplicando la metodología ID-02, para fundamentar el plan de tratamiento (ID-04).</w:t>
      </w:r>
    </w:p>
    <w:p>
      <w:pPr>
        <w:pStyle w:val="Heading3"/>
      </w:pPr>
      <w:r>
        <w:rPr>
          <w:color w:val="1F3B63"/>
        </w:rPr>
        <w:t>2. Alcance y criterios</w:t>
      </w:r>
    </w:p>
    <w:p>
      <w:r>
        <w:t xml:space="preserve">Alcance: activos críticos del inventario ID-01 dentro del alcance del SGSI. Criterios de evaluación: escalas y matriz de ID-02. Umbral de atención: riesgos de nivel </w:t>
      </w:r>
      <w:r>
        <w:rPr>
          <w:b/>
        </w:rPr>
        <w:t>Alto (≥ 8)</w:t>
      </w:r>
      <w:r>
        <w:t xml:space="preserve"> o </w:t>
      </w:r>
      <w:r>
        <w:rPr>
          <w:b/>
        </w:rPr>
        <w:t>Crítico (≥ 15)</w:t>
      </w:r>
      <w:r>
        <w:t>.</w:t>
      </w:r>
    </w:p>
    <w:p>
      <w:pPr>
        <w:pStyle w:val="Heading3"/>
      </w:pPr>
      <w:r>
        <w:rPr>
          <w:color w:val="1F3B63"/>
        </w:rPr>
        <w:t>3. Metodología aplicada</w:t>
      </w:r>
    </w:p>
    <w:p>
      <w:r>
        <w:t>[COMPLETAR: resumir aquí brevemente el método usado según ID-02: enfoque cualitativo, escalas 1-5, matriz 5×5, fuentes de información (entrevistas, resultados de pentest DE-03, análisis de vulnerabilidades PR-06, informe de la auditoría interna BCU-05, incidentes previos).]</w:t>
      </w:r>
    </w:p>
    <w:p>
      <w:pPr>
        <w:pStyle w:val="Heading3"/>
      </w:pPr>
      <w:r>
        <w:rPr>
          <w:color w:val="1F3B63"/>
        </w:rPr>
        <w:t>4. Registro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Activo (ID-01)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Amenaza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Vulnerabilidad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Imp.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Tratamiento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965"/>
          </w:tcPr>
          <w:p>
            <w:r/>
            <w:r>
              <w:t>R-001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1-5</w:t>
            </w:r>
          </w:p>
        </w:tc>
        <w:tc>
          <w:tcPr>
            <w:tcW w:type="dxa" w:w="965"/>
          </w:tcPr>
          <w:p>
            <w:r/>
            <w:r>
              <w:t>1-5</w:t>
            </w:r>
          </w:p>
        </w:tc>
        <w:tc>
          <w:tcPr>
            <w:tcW w:type="dxa" w:w="965"/>
          </w:tcPr>
          <w:p>
            <w:r/>
            <w:r>
              <w:t>[Bajo/Medio/Alto/Crítico]</w:t>
            </w:r>
          </w:p>
        </w:tc>
        <w:tc>
          <w:tcPr>
            <w:tcW w:type="dxa" w:w="965"/>
          </w:tcPr>
          <w:p>
            <w:r/>
            <w:r>
              <w:t>[Mitigar/Transferir/Evitar/Aceptar]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</w:tr>
      <w:tr>
        <w:tc>
          <w:tcPr>
            <w:tcW w:type="dxa" w:w="965"/>
          </w:tcPr>
          <w:p>
            <w:r/>
            <w:r>
              <w:t>R-002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1-5</w:t>
            </w:r>
          </w:p>
        </w:tc>
        <w:tc>
          <w:tcPr>
            <w:tcW w:type="dxa" w:w="965"/>
          </w:tcPr>
          <w:p>
            <w:r/>
            <w:r>
              <w:t>1-5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  <w:tc>
          <w:tcPr>
            <w:tcW w:type="dxa" w:w="965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5. Resumen de nivel de riesgo</w:t>
      </w:r>
    </w:p>
    <w:p>
      <w:r>
        <w:t>[COMPLETAR: total de riesgos por nivel (crítico / alto / medio / bajo), distribución por activo y comentario del RSI sobre la tendencia vs. la evaluación anterior.]</w:t>
      </w:r>
    </w:p>
    <w:p>
      <w:pPr>
        <w:pStyle w:val="Heading3"/>
      </w:pPr>
      <w:r>
        <w:rPr>
          <w:color w:val="1F3B63"/>
        </w:rPr>
        <w:t>6. Riesgos aceptados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Propietario que acepta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 de revisión</w:t>
            </w:r>
          </w:p>
        </w:tc>
      </w:tr>
      <w:tr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[Bajo/Medio]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7.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registro de riesgos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Comité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con seis riesgos realistas del Banco. Calificaciones de referencia; cada institución debe calificar según su realidad.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Activo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Amenaza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Vulnerabilidad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Prob.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Imp.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Tratamiento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965"/>
          </w:tcPr>
          <w:p>
            <w:r>
              <w:rPr>
                <w:b/>
              </w:rPr>
            </w:r>
            <w:r>
              <w:rPr>
                <w:b/>
              </w:rPr>
              <w:t>Plazo</w:t>
            </w:r>
          </w:p>
        </w:tc>
      </w:tr>
      <w:tr>
        <w:tc>
          <w:tcPr>
            <w:tcW w:type="dxa" w:w="965"/>
          </w:tcPr>
          <w:p>
            <w:r/>
            <w:r>
              <w:t>R-001</w:t>
            </w:r>
          </w:p>
        </w:tc>
        <w:tc>
          <w:tcPr>
            <w:tcW w:type="dxa" w:w="965"/>
          </w:tcPr>
          <w:p>
            <w:r/>
            <w:r>
              <w:t>Core bancario</w:t>
            </w:r>
          </w:p>
        </w:tc>
        <w:tc>
          <w:tcPr>
            <w:tcW w:type="dxa" w:w="965"/>
          </w:tcPr>
          <w:p>
            <w:r/>
            <w:r>
              <w:t>Ransomware que cifra la base de datos central</w:t>
            </w:r>
          </w:p>
        </w:tc>
        <w:tc>
          <w:tcPr>
            <w:tcW w:type="dxa" w:w="965"/>
          </w:tcPr>
          <w:p>
            <w:r/>
            <w:r>
              <w:t>Parches desactualizados del sistema operativo; respaldos no probados</w:t>
            </w:r>
          </w:p>
        </w:tc>
        <w:tc>
          <w:tcPr>
            <w:tcW w:type="dxa" w:w="965"/>
          </w:tcPr>
          <w:p>
            <w:r/>
            <w:r>
              <w:t>3</w:t>
            </w:r>
          </w:p>
        </w:tc>
        <w:tc>
          <w:tcPr>
            <w:tcW w:type="dxa" w:w="965"/>
          </w:tcPr>
          <w:p>
            <w:r/>
            <w:r>
              <w:t>5</w:t>
            </w:r>
          </w:p>
        </w:tc>
        <w:tc>
          <w:tcPr>
            <w:tcW w:type="dxa" w:w="965"/>
          </w:tcPr>
          <w:p>
            <w:r/>
            <w:r>
              <w:t xml:space="preserve">15 · </w:t>
            </w:r>
            <w:r>
              <w:rPr>
                <w:b/>
              </w:rPr>
              <w:t>Crítico</w:t>
            </w:r>
          </w:p>
        </w:tc>
        <w:tc>
          <w:tcPr>
            <w:tcW w:type="dxa" w:w="965"/>
          </w:tcPr>
          <w:p>
            <w:r/>
            <w:r>
              <w:t>Mitigar: parcheo prioritario (PR-06), respaldo probado (PR-05), segmentación y EDR</w:t>
            </w:r>
          </w:p>
        </w:tc>
        <w:tc>
          <w:tcPr>
            <w:tcW w:type="dxa" w:w="965"/>
          </w:tcPr>
          <w:p>
            <w:r/>
            <w:r>
              <w:t>Jefe Depto. Producción (D. Herrera)</w:t>
            </w:r>
          </w:p>
        </w:tc>
        <w:tc>
          <w:tcPr>
            <w:tcW w:type="dxa" w:w="965"/>
          </w:tcPr>
          <w:p>
            <w:r/>
            <w:r>
              <w:t>[COMPLETAR: 90 días]</w:t>
            </w:r>
          </w:p>
        </w:tc>
      </w:tr>
      <w:tr>
        <w:tc>
          <w:tcPr>
            <w:tcW w:type="dxa" w:w="965"/>
          </w:tcPr>
          <w:p>
            <w:r/>
            <w:r>
              <w:t>R-002</w:t>
            </w:r>
          </w:p>
        </w:tc>
        <w:tc>
          <w:tcPr>
            <w:tcW w:type="dxa" w:w="965"/>
          </w:tcPr>
          <w:p>
            <w:r/>
            <w:r>
              <w:t>Base de clientes y expedientes de crédito</w:t>
            </w:r>
          </w:p>
        </w:tc>
        <w:tc>
          <w:tcPr>
            <w:tcW w:type="dxa" w:w="965"/>
          </w:tcPr>
          <w:p>
            <w:r/>
            <w:r>
              <w:t>Filtración de datos personales</w:t>
            </w:r>
          </w:p>
        </w:tc>
        <w:tc>
          <w:tcPr>
            <w:tcW w:type="dxa" w:w="965"/>
          </w:tcPr>
          <w:p>
            <w:r/>
            <w:r>
              <w:t>Accesos con privilegios excesivos; falta de cifrado en reposo</w:t>
            </w:r>
          </w:p>
        </w:tc>
        <w:tc>
          <w:tcPr>
            <w:tcW w:type="dxa" w:w="965"/>
          </w:tcPr>
          <w:p>
            <w:r/>
            <w:r>
              <w:t>3</w:t>
            </w:r>
          </w:p>
        </w:tc>
        <w:tc>
          <w:tcPr>
            <w:tcW w:type="dxa" w:w="965"/>
          </w:tcPr>
          <w:p>
            <w:r/>
            <w:r>
              <w:t>5</w:t>
            </w:r>
          </w:p>
        </w:tc>
        <w:tc>
          <w:tcPr>
            <w:tcW w:type="dxa" w:w="965"/>
          </w:tcPr>
          <w:p>
            <w:r/>
            <w:r>
              <w:t xml:space="preserve">15 · </w:t>
            </w:r>
            <w:r>
              <w:rPr>
                <w:b/>
              </w:rPr>
              <w:t>Crítico</w:t>
            </w:r>
          </w:p>
        </w:tc>
        <w:tc>
          <w:tcPr>
            <w:tcW w:type="dxa" w:w="965"/>
          </w:tcPr>
          <w:p>
            <w:r/>
            <w:r>
              <w:t>Mitigar: minimización de privilegios (PR-01), cifrado (PR-03), monitoreo (DE-01)</w:t>
            </w:r>
          </w:p>
        </w:tc>
        <w:tc>
          <w:tcPr>
            <w:tcW w:type="dxa" w:w="965"/>
          </w:tcPr>
          <w:p>
            <w:r/>
            <w:r>
              <w:t>Div. TI</w:t>
            </w:r>
          </w:p>
        </w:tc>
        <w:tc>
          <w:tcPr>
            <w:tcW w:type="dxa" w:w="965"/>
          </w:tcPr>
          <w:p>
            <w:r/>
            <w:r>
              <w:t>[COMPLETAR: 120 días]</w:t>
            </w:r>
          </w:p>
        </w:tc>
      </w:tr>
      <w:tr>
        <w:tc>
          <w:tcPr>
            <w:tcW w:type="dxa" w:w="965"/>
          </w:tcPr>
          <w:p>
            <w:r/>
            <w:r>
              <w:t>R-003</w:t>
            </w:r>
          </w:p>
        </w:tc>
        <w:tc>
          <w:tcPr>
            <w:tcW w:type="dxa" w:w="965"/>
          </w:tcPr>
          <w:p>
            <w:r/>
            <w:r>
              <w:t>Sistema de pagos (Banco Pagos)</w:t>
            </w:r>
          </w:p>
        </w:tc>
        <w:tc>
          <w:tcPr>
            <w:tcW w:type="dxa" w:w="965"/>
          </w:tcPr>
          <w:p>
            <w:r/>
            <w:r>
              <w:t>Falla o caída que detiene pagos a proveedores y obligaciones</w:t>
            </w:r>
          </w:p>
        </w:tc>
        <w:tc>
          <w:tcPr>
            <w:tcW w:type="dxa" w:w="965"/>
          </w:tcPr>
          <w:p>
            <w:r/>
            <w:r>
              <w:t>Sin prueba de conmutación del sitio alterno; dependencia de un solo proveedor</w:t>
            </w:r>
          </w:p>
        </w:tc>
        <w:tc>
          <w:tcPr>
            <w:tcW w:type="dxa" w:w="965"/>
          </w:tcPr>
          <w:p>
            <w:r/>
            <w:r>
              <w:t>3</w:t>
            </w:r>
          </w:p>
        </w:tc>
        <w:tc>
          <w:tcPr>
            <w:tcW w:type="dxa" w:w="965"/>
          </w:tcPr>
          <w:p>
            <w:r/>
            <w:r>
              <w:t>5</w:t>
            </w:r>
          </w:p>
        </w:tc>
        <w:tc>
          <w:tcPr>
            <w:tcW w:type="dxa" w:w="965"/>
          </w:tcPr>
          <w:p>
            <w:r/>
            <w:r>
              <w:t xml:space="preserve">15 · </w:t>
            </w:r>
            <w:r>
              <w:rPr>
                <w:b/>
              </w:rPr>
              <w:t>Crítico</w:t>
            </w:r>
          </w:p>
        </w:tc>
        <w:tc>
          <w:tcPr>
            <w:tcW w:type="dxa" w:w="965"/>
          </w:tcPr>
          <w:p>
            <w:r/>
            <w:r>
              <w:t>Mitigar: prueba de DRP semestral (RC-02), redundancia de enlace, plan de contingencia (BCU-06)</w:t>
            </w:r>
          </w:p>
        </w:tc>
        <w:tc>
          <w:tcPr>
            <w:tcW w:type="dxa" w:w="965"/>
          </w:tcPr>
          <w:p>
            <w:r/>
            <w:r>
              <w:t>Jefe Depto. Sistema de Pagos (G. Correa)</w:t>
            </w:r>
          </w:p>
        </w:tc>
        <w:tc>
          <w:tcPr>
            <w:tcW w:type="dxa" w:w="965"/>
          </w:tcPr>
          <w:p>
            <w:r/>
            <w:r>
              <w:t>[COMPLETAR: 60 días]</w:t>
            </w:r>
          </w:p>
        </w:tc>
      </w:tr>
      <w:tr>
        <w:tc>
          <w:tcPr>
            <w:tcW w:type="dxa" w:w="965"/>
          </w:tcPr>
          <w:p>
            <w:r/>
            <w:r>
              <w:t>R-004</w:t>
            </w:r>
          </w:p>
        </w:tc>
        <w:tc>
          <w:tcPr>
            <w:tcW w:type="dxa" w:w="965"/>
          </w:tcPr>
          <w:p>
            <w:r/>
            <w:r>
              <w:t>Operaciones / personal con acceso</w:t>
            </w:r>
          </w:p>
        </w:tc>
        <w:tc>
          <w:tcPr>
            <w:tcW w:type="dxa" w:w="965"/>
          </w:tcPr>
          <w:p>
            <w:r/>
            <w:r>
              <w:t>Fraude interno (desvío de fondos o datos)</w:t>
            </w:r>
          </w:p>
        </w:tc>
        <w:tc>
          <w:tcPr>
            <w:tcW w:type="dxa" w:w="965"/>
          </w:tcPr>
          <w:p>
            <w:r/>
            <w:r>
              <w:t>Segregación de funciones débil; licencias no controladas; sin monitoreo de accesos</w:t>
            </w:r>
          </w:p>
        </w:tc>
        <w:tc>
          <w:tcPr>
            <w:tcW w:type="dxa" w:w="965"/>
          </w:tcPr>
          <w:p>
            <w:r/>
            <w:r>
              <w:t>2</w:t>
            </w:r>
          </w:p>
        </w:tc>
        <w:tc>
          <w:tcPr>
            <w:tcW w:type="dxa" w:w="965"/>
          </w:tcPr>
          <w:p>
            <w:r/>
            <w:r>
              <w:t>4</w:t>
            </w:r>
          </w:p>
        </w:tc>
        <w:tc>
          <w:tcPr>
            <w:tcW w:type="dxa" w:w="965"/>
          </w:tcPr>
          <w:p>
            <w:r/>
            <w:r>
              <w:t xml:space="preserve">8 · </w:t>
            </w:r>
            <w:r>
              <w:rPr>
                <w:b/>
              </w:rPr>
              <w:t>Alto</w:t>
            </w:r>
          </w:p>
        </w:tc>
        <w:tc>
          <w:tcPr>
            <w:tcW w:type="dxa" w:w="965"/>
          </w:tcPr>
          <w:p>
            <w:r/>
            <w:r>
              <w:t>Mitigar: segregación de funciones (A.5.3), revisión de accesos (PR-01), registro de eventos (DE-01)</w:t>
            </w:r>
          </w:p>
        </w:tc>
        <w:tc>
          <w:tcPr>
            <w:tcW w:type="dxa" w:w="965"/>
          </w:tcPr>
          <w:p>
            <w:r/>
            <w:r>
              <w:t>Área de Riesgos</w:t>
            </w:r>
          </w:p>
        </w:tc>
        <w:tc>
          <w:tcPr>
            <w:tcW w:type="dxa" w:w="965"/>
          </w:tcPr>
          <w:p>
            <w:r/>
            <w:r>
              <w:t>[COMPLETAR: 120 días]</w:t>
            </w:r>
          </w:p>
        </w:tc>
      </w:tr>
      <w:tr>
        <w:tc>
          <w:tcPr>
            <w:tcW w:type="dxa" w:w="965"/>
          </w:tcPr>
          <w:p>
            <w:r/>
            <w:r>
              <w:t>R-005</w:t>
            </w:r>
          </w:p>
        </w:tc>
        <w:tc>
          <w:tcPr>
            <w:tcW w:type="dxa" w:w="965"/>
          </w:tcPr>
          <w:p>
            <w:r/>
            <w:r>
              <w:t>Servicios de terceros (cloud / mantenimiento)</w:t>
            </w:r>
          </w:p>
        </w:tc>
        <w:tc>
          <w:tcPr>
            <w:tcW w:type="dxa" w:w="965"/>
          </w:tcPr>
          <w:p>
            <w:r/>
            <w:r>
              <w:t>Fuga de información por proveedor</w:t>
            </w:r>
          </w:p>
        </w:tc>
        <w:tc>
          <w:tcPr>
            <w:tcW w:type="dxa" w:w="965"/>
          </w:tcPr>
          <w:p>
            <w:r/>
            <w:r>
              <w:t>Contrato sin cláusulas de seguridad; sin control del subcontratista</w:t>
            </w:r>
          </w:p>
        </w:tc>
        <w:tc>
          <w:tcPr>
            <w:tcW w:type="dxa" w:w="965"/>
          </w:tcPr>
          <w:p>
            <w:r/>
            <w:r>
              <w:t>3</w:t>
            </w:r>
          </w:p>
        </w:tc>
        <w:tc>
          <w:tcPr>
            <w:tcW w:type="dxa" w:w="965"/>
          </w:tcPr>
          <w:p>
            <w:r/>
            <w:r>
              <w:t>4</w:t>
            </w:r>
          </w:p>
        </w:tc>
        <w:tc>
          <w:tcPr>
            <w:tcW w:type="dxa" w:w="965"/>
          </w:tcPr>
          <w:p>
            <w:r/>
            <w:r>
              <w:t xml:space="preserve">12 · </w:t>
            </w:r>
            <w:r>
              <w:rPr>
                <w:b/>
              </w:rPr>
              <w:t>Alto</w:t>
            </w:r>
          </w:p>
        </w:tc>
        <w:tc>
          <w:tcPr>
            <w:tcW w:type="dxa" w:w="965"/>
          </w:tcPr>
          <w:p>
            <w:r/>
            <w:r>
              <w:t>Transferir: contrato con cláusulas (PR-08, GV-05), seguro; mitigar: auditoría del proveedor</w:t>
            </w:r>
          </w:p>
        </w:tc>
        <w:tc>
          <w:tcPr>
            <w:tcW w:type="dxa" w:w="965"/>
          </w:tcPr>
          <w:p>
            <w:r/>
            <w:r>
              <w:t>Depto. Compras y Contrataciones</w:t>
            </w:r>
          </w:p>
        </w:tc>
        <w:tc>
          <w:tcPr>
            <w:tcW w:type="dxa" w:w="965"/>
          </w:tcPr>
          <w:p>
            <w:r/>
            <w:r>
              <w:t>[COMPLETAR: 90 días]</w:t>
            </w:r>
          </w:p>
        </w:tc>
      </w:tr>
      <w:tr>
        <w:tc>
          <w:tcPr>
            <w:tcW w:type="dxa" w:w="965"/>
          </w:tcPr>
          <w:p>
            <w:r/>
            <w:r>
              <w:t>R-006</w:t>
            </w:r>
          </w:p>
        </w:tc>
        <w:tc>
          <w:tcPr>
            <w:tcW w:type="dxa" w:w="965"/>
          </w:tcPr>
          <w:p>
            <w:r/>
            <w:r>
              <w:t>Banco En Línea</w:t>
            </w:r>
          </w:p>
        </w:tc>
        <w:tc>
          <w:tcPr>
            <w:tcW w:type="dxa" w:w="965"/>
          </w:tcPr>
          <w:p>
            <w:r/>
            <w:r>
              <w:t>Indisponibilidad del canal digital (DDoS o falla)</w:t>
            </w:r>
          </w:p>
        </w:tc>
        <w:tc>
          <w:tcPr>
            <w:tcW w:type="dxa" w:w="965"/>
          </w:tcPr>
          <w:p>
            <w:r/>
            <w:r>
              <w:t>Única vía de acceso; sin protección anti-DDoS</w:t>
            </w:r>
          </w:p>
        </w:tc>
        <w:tc>
          <w:tcPr>
            <w:tcW w:type="dxa" w:w="965"/>
          </w:tcPr>
          <w:p>
            <w:r/>
            <w:r>
              <w:t>3</w:t>
            </w:r>
          </w:p>
        </w:tc>
        <w:tc>
          <w:tcPr>
            <w:tcW w:type="dxa" w:w="965"/>
          </w:tcPr>
          <w:p>
            <w:r/>
            <w:r>
              <w:t>4</w:t>
            </w:r>
          </w:p>
        </w:tc>
        <w:tc>
          <w:tcPr>
            <w:tcW w:type="dxa" w:w="965"/>
          </w:tcPr>
          <w:p>
            <w:r/>
            <w:r>
              <w:t xml:space="preserve">12 · </w:t>
            </w:r>
            <w:r>
              <w:rPr>
                <w:b/>
              </w:rPr>
              <w:t>Alto</w:t>
            </w:r>
          </w:p>
        </w:tc>
        <w:tc>
          <w:tcPr>
            <w:tcW w:type="dxa" w:w="965"/>
          </w:tcPr>
          <w:p>
            <w:r/>
            <w:r>
              <w:t>Mitigar: protección anti-DDoS, alta disponibilidad, plan de comunicación (RC-03)</w:t>
            </w:r>
          </w:p>
        </w:tc>
        <w:tc>
          <w:tcPr>
            <w:tcW w:type="dxa" w:w="965"/>
          </w:tcPr>
          <w:p>
            <w:r/>
            <w:r>
              <w:t>Div. TI</w:t>
            </w:r>
          </w:p>
        </w:tc>
        <w:tc>
          <w:tcPr>
            <w:tcW w:type="dxa" w:w="965"/>
          </w:tcPr>
          <w:p>
            <w:r/>
            <w:r>
              <w:t>[COMPLETAR: 60 días]</w:t>
            </w:r>
          </w:p>
        </w:tc>
      </w:tr>
    </w:tbl>
    <w:p>
      <w:r>
        <w:rPr>
          <w:b/>
        </w:rPr>
        <w:t>Comentario del ejemplo:</w:t>
      </w:r>
      <w:r>
        <w:t xml:space="preserve"> los tres riesgos críticos (R-001, R-002, R-003) coinciden con los activos que soportan el ahorro, el crédito y los pagos, y con los datos personales de los clientes. Todos tienen responsable y plazo, y pasan al plan de tratamiento ID-04 con su presupuesto y seguimiento.</w:t>
      </w:r>
    </w:p>
    <w:p>
      <w:r>
        <w:rPr>
          <w:b/>
        </w:rPr>
        <w:t>Documentos relacionados:</w:t>
      </w:r>
      <w:r>
        <w:t xml:space="preserve"> ID-01 (Activos) · ID-02 (Metodología) · ID-04 (Plan de tratamiento) · BCU-02 (Marco de riesgos) · PR-06 (Vulnerabilidades) · URCDP-05 (EIPD) · GV-06 (Informe del RSI).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