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ID-04 · Plan de Tratamiento de Riesgos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Gobernar (GV.RM — Estrategia de gestión de riesgos) · Identificar (ID.RA — Evaluación de riesgos)</w:t>
      </w:r>
    </w:p>
    <w:p>
      <w:pPr>
        <w:ind w:left="432"/>
      </w:pPr>
      <w:r>
        <w:rPr>
          <w:i/>
          <w:color w:val="606060"/>
        </w:rPr>
        <w:t>**ISO/IEC 27001:** Cláusula 6.1.3 (Tratamiento de riesgos) · Cláusula 6.2 (Objetivos de seguridad) · A.6.8 (Seguridad en el desarrollo de políticas) · SoA (Anexo A)</w:t>
      </w:r>
    </w:p>
    <w:p>
      <w:pPr>
        <w:ind w:left="432"/>
      </w:pPr>
      <w:r>
        <w:rPr>
          <w:i/>
          <w:color w:val="606060"/>
        </w:rPr>
        <w:t>**BCU:** Circular 2227 (control del riesgo operacional) · EMG · Marco de Riesgos</w:t>
      </w:r>
    </w:p>
    <w:p>
      <w:pPr>
        <w:ind w:left="432"/>
      </w:pPr>
      <w:r>
        <w:rPr>
          <w:i/>
          <w:color w:val="606060"/>
        </w:rPr>
        <w:t>**URCDP:** Ley 18.331 art. 10 · Decreto 64/020 (medidas correctivas y preventivas)</w:t>
      </w:r>
    </w:p>
    <w:p>
      <w:pPr>
        <w:ind w:left="432"/>
      </w:pPr>
      <w:r>
        <w:rPr>
          <w:i/>
          <w:color w:val="606060"/>
        </w:rPr>
        <w:t>**Nivel del curso:** 🟡 Practicar · 🔴 Aplicar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</w:t>
      </w:r>
      <w:r>
        <w:rPr>
          <w:b/>
        </w:rPr>
        <w:t>Plan de Tratamiento de Riesgos</w:t>
      </w:r>
      <w:r>
        <w:t xml:space="preserve"> es el documento que transforma el análisis (ID-03) en </w:t>
      </w:r>
      <w:r>
        <w:rPr>
          <w:b/>
        </w:rPr>
        <w:t>acciones concretas</w:t>
      </w:r>
      <w:r>
        <w:t>: para cada riesgo decidido como "alto" o "crítico" define qué se va a hacer, quién lo hace, con qué presupuesto y para cuándo. Sin este plan, el análisis de riesgos es solo un diagnóstico; con él, el SGSI empieza a reducir exposición real.</w:t>
      </w:r>
    </w:p>
    <w:p>
      <w:r>
        <w:t xml:space="preserve">La ISO 27001 (cláusula 6.1.3) exige producir un </w:t>
      </w:r>
      <w:r>
        <w:rPr>
          <w:b/>
        </w:rPr>
        <w:t>plan de tratamiento de riesgos</w:t>
      </w:r>
      <w:r>
        <w:t xml:space="preserve"> y que la organización apruebe los riesgos residuales. El BCU, por la Circular 2227, espera que el riesgo operacional tenga planes de acción con responsables y plazos, y que se haga seguimiento. Y es el documento que permite al Directorio decidir cuánto invertir: cada acción del plan se traduce en presupuesto.</w:t>
      </w:r>
    </w:p>
    <w:p>
      <w:r>
        <w:t xml:space="preserve">El plan cubre las </w:t>
      </w:r>
      <w:r>
        <w:rPr>
          <w:b/>
        </w:rPr>
        <w:t>cuatro opciones de tratamiento</w:t>
      </w:r>
      <w:r>
        <w:t xml:space="preserve"> (mitigar, transferir, evitar y aceptar), ordena las acciones por prioridad (primero lo crítico), define responsables con sus plazos y presupuesto, y prevé el </w:t>
      </w:r>
      <w:r>
        <w:rPr>
          <w:b/>
        </w:rPr>
        <w:t>seguimiento periódico</w:t>
      </w:r>
      <w:r>
        <w:t xml:space="preserve">. Se cierra con la </w:t>
      </w:r>
      <w:r>
        <w:rPr>
          <w:b/>
        </w:rPr>
        <w:t>Declaración de Aplicabilidad (SoA)</w:t>
      </w:r>
      <w:r>
        <w:t>, la tabla que vincula cada control de la norma con su estado en el Banco: qué control se aplica, en qué riesgo se apoya y con qué justificación.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Marco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 aplicable al Banco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GV.RM-01 a GV.RM-07</w:t>
            </w:r>
          </w:p>
        </w:tc>
        <w:tc>
          <w:tcPr>
            <w:tcW w:type="dxa" w:w="3216"/>
          </w:tcPr>
          <w:p>
            <w:r/>
            <w:r>
              <w:t>Estrategia de riesgos alineada a los objetivos; acciones para mitigar riesgos, monitorear su efectividad y comunicar los cambios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</w:t>
            </w:r>
          </w:p>
        </w:tc>
        <w:tc>
          <w:tcPr>
            <w:tcW w:type="dxa" w:w="3216"/>
          </w:tcPr>
          <w:p>
            <w:r/>
            <w:r>
              <w:t>Cláusula 6.1.3, 6.2; Anexo A (A.6.8)</w:t>
            </w:r>
          </w:p>
        </w:tc>
        <w:tc>
          <w:tcPr>
            <w:tcW w:type="dxa" w:w="3216"/>
          </w:tcPr>
          <w:p>
            <w:r/>
            <w:r>
              <w:t>Plan de tratamiento con responsables y plazos; SoA con justificación de cada control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Circular 2227; EMG · Marco de Riesgos</w:t>
            </w:r>
          </w:p>
        </w:tc>
        <w:tc>
          <w:tcPr>
            <w:tcW w:type="dxa" w:w="3216"/>
          </w:tcPr>
          <w:p>
            <w:r/>
            <w:r>
              <w:t>Planes de acción sobre el riesgo operacional con seguimiento y evidencia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</w:t>
            </w:r>
          </w:p>
        </w:tc>
        <w:tc>
          <w:tcPr>
            <w:tcW w:type="dxa" w:w="3216"/>
          </w:tcPr>
          <w:p>
            <w:r/>
            <w:r>
              <w:t>Medidas técnicas y organizativas adecuadas al riesgo para proteger datos personales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Partí del registro de riesgos (ID-03):</w:t>
      </w:r>
      <w:r>
        <w:t xml:space="preserve"> todo riesgo </w:t>
      </w:r>
      <w:r>
        <w:rPr>
          <w:b/>
        </w:rPr>
        <w:t>Alto (≥ 8)</w:t>
      </w:r>
      <w:r>
        <w:t xml:space="preserve"> o </w:t>
      </w:r>
      <w:r>
        <w:rPr>
          <w:b/>
        </w:rPr>
        <w:t>Crítico (≥ 15)</w:t>
      </w:r>
      <w:r>
        <w:t xml:space="preserve"> debe tener una acción de tratamiento. Los bajos pueden quedar como "aceptados" documentados.</w:t>
      </w:r>
    </w:p>
    <w:p>
      <w:pPr>
        <w:pStyle w:val="ListNumber"/>
      </w:pPr>
      <w:r>
        <w:rPr>
          <w:b/>
        </w:rPr>
        <w:t>Elegí la opción de tratamiento</w:t>
      </w:r>
      <w:r>
        <w:t xml:space="preserve"> por riesgo (punto 3): mitigar con controles, transferir (seguro, contrato con cláusulas), evitar (eliminar la actividad) o aceptar (solo si está dentro del apetito).</w:t>
      </w:r>
    </w:p>
    <w:p>
      <w:pPr>
        <w:pStyle w:val="ListNumber"/>
      </w:pPr>
      <w:r>
        <w:rPr>
          <w:b/>
        </w:rPr>
        <w:t>Priorizá</w:t>
      </w:r>
      <w:r>
        <w:t xml:space="preserve"> por nivel de riesgo y por criticidad del activo: primero lo que toca pagos, ahorro y datos personales. El plan debe tener un orden ejecutable, no una lista infinita.</w:t>
      </w:r>
    </w:p>
    <w:p>
      <w:pPr>
        <w:pStyle w:val="ListNumber"/>
      </w:pPr>
      <w:r>
        <w:rPr>
          <w:b/>
        </w:rPr>
        <w:t>Asigná responsable y plazo</w:t>
      </w:r>
      <w:r>
        <w:t xml:space="preserve"> a cada acción, y estimá el presupuesto. Un plan sin responsable y sin fecha es papel, no gestión.</w:t>
      </w:r>
    </w:p>
    <w:p>
      <w:pPr>
        <w:pStyle w:val="ListNumber"/>
      </w:pPr>
      <w:r>
        <w:rPr>
          <w:b/>
        </w:rPr>
        <w:t>Definí los indicadores de seguimiento</w:t>
      </w:r>
      <w:r>
        <w:t xml:space="preserve"> (punto 6): % de acciones cerradas a tiempo, riesgos críticos abiertos, tendencia del nivel de riesgo.</w:t>
      </w:r>
    </w:p>
    <w:p>
      <w:pPr>
        <w:pStyle w:val="ListNumber"/>
      </w:pPr>
      <w:r>
        <w:rPr>
          <w:b/>
        </w:rPr>
        <w:t>Completá la SoA</w:t>
      </w:r>
      <w:r>
        <w:t xml:space="preserve"> (punto 7): recorré los controles del Anexo A (2022) y marcá para cada uno si se aplica ("Aplicado", "No aplicado", "En implementación") y su justificación, vinculándolo a los riesgos del ID-03.</w:t>
      </w:r>
    </w:p>
    <w:p>
      <w:pPr>
        <w:pStyle w:val="ListNumber"/>
      </w:pPr>
      <w:r>
        <w:rPr>
          <w:b/>
        </w:rPr>
        <w:t>Consultá en el Banco:</w:t>
      </w:r>
      <w:r>
        <w:t xml:space="preserve"> el Comité de Seguridad decide prioridades y presupuesto; División TI (Bernardo Ureta) define los controles técnicos; Área Financiera (Soledad Carreres) y Compras (Rosario Larrosa) estiman costos y contrataciones; y los propietarios de activos firman la ejecución de cada acción.</w:t>
      </w:r>
    </w:p>
    <w:p>
      <w:pPr>
        <w:pStyle w:val="ListNumber"/>
      </w:pPr>
      <w:r>
        <w:rPr>
          <w:b/>
        </w:rPr>
        <w:t>Seguí el plan</w:t>
      </w:r>
      <w:r>
        <w:t xml:space="preserve"> en las reuniones trimestrales del Comité y reportá el avance en el informe del RSI (GV-06).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ID-04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Plan de Tratamiento de Riesgos del Banco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· Gerencia General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Definir, priorizar y controlar las acciones para reducir los riesgos de seguridad de la información del Banco a un nivel aceptable, y declarar la aplicabilidad de los controles de la ISO/IEC 27001.</w:t>
      </w:r>
    </w:p>
    <w:p>
      <w:pPr>
        <w:pStyle w:val="Heading3"/>
      </w:pPr>
      <w:r>
        <w:rPr>
          <w:color w:val="1F3B63"/>
        </w:rPr>
        <w:t>2. Alcance</w:t>
      </w:r>
    </w:p>
    <w:p>
      <w:r>
        <w:t>Comprende todos los riesgos del registro ID-03 y los controles del Anexo A aplicables al alcance del SGSI (GV-02), incluidos los servicios de terceros y las bases con datos personales.</w:t>
      </w:r>
    </w:p>
    <w:p>
      <w:pPr>
        <w:pStyle w:val="Heading3"/>
      </w:pPr>
      <w:r>
        <w:rPr>
          <w:color w:val="1F3B63"/>
        </w:rPr>
        <w:t>3. Opciones de tratamiento de riesgos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Opción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significa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 en el Banco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Mitigar</w:t>
            </w:r>
          </w:p>
        </w:tc>
        <w:tc>
          <w:tcPr>
            <w:tcW w:type="dxa" w:w="3216"/>
          </w:tcPr>
          <w:p>
            <w:r/>
            <w:r>
              <w:t>Aplicar controles que reducen probabilidad y/o impacto</w:t>
            </w:r>
          </w:p>
        </w:tc>
        <w:tc>
          <w:tcPr>
            <w:tcW w:type="dxa" w:w="3216"/>
          </w:tcPr>
          <w:p>
            <w:r/>
            <w:r>
              <w:t>Parcheo, respaldo, control de accesos, monitoreo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Transferir</w:t>
            </w:r>
          </w:p>
        </w:tc>
        <w:tc>
          <w:tcPr>
            <w:tcW w:type="dxa" w:w="3216"/>
          </w:tcPr>
          <w:p>
            <w:r/>
            <w:r>
              <w:t>Trasladar parte del riesgo (seguro, contrato, tercero)</w:t>
            </w:r>
          </w:p>
        </w:tc>
        <w:tc>
          <w:tcPr>
            <w:tcW w:type="dxa" w:w="3216"/>
          </w:tcPr>
          <w:p>
            <w:r/>
            <w:r>
              <w:t>Pólizas cibernéticas; cláusulas en contratos de proveedores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Evitar</w:t>
            </w:r>
          </w:p>
        </w:tc>
        <w:tc>
          <w:tcPr>
            <w:tcW w:type="dxa" w:w="3216"/>
          </w:tcPr>
          <w:p>
            <w:r/>
            <w:r>
              <w:t>Eliminar la actividad o el activo que genera el riesgo</w:t>
            </w:r>
          </w:p>
        </w:tc>
        <w:tc>
          <w:tcPr>
            <w:tcW w:type="dxa" w:w="3216"/>
          </w:tcPr>
          <w:p>
            <w:r/>
            <w:r>
              <w:t>Retirar un sistema sin mantenimiento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Aceptar</w:t>
            </w:r>
          </w:p>
        </w:tc>
        <w:tc>
          <w:tcPr>
            <w:tcW w:type="dxa" w:w="3216"/>
          </w:tcPr>
          <w:p>
            <w:r/>
            <w:r>
              <w:t>Asumir el riesgo dentro del apetito, documentándolo</w:t>
            </w:r>
          </w:p>
        </w:tc>
        <w:tc>
          <w:tcPr>
            <w:tcW w:type="dxa" w:w="3216"/>
          </w:tcPr>
          <w:p>
            <w:r/>
            <w:r>
              <w:t>Riesgo bajo en un sistema interno sin datos sensibles</w:t>
            </w:r>
          </w:p>
        </w:tc>
      </w:tr>
    </w:tbl>
    <w:p>
      <w:pPr>
        <w:pStyle w:val="Heading3"/>
      </w:pPr>
      <w:r>
        <w:rPr>
          <w:color w:val="1F3B63"/>
        </w:rPr>
        <w:t>4. Priorización y ejecución</w:t>
      </w:r>
    </w:p>
    <w:p>
      <w:r>
        <w:t xml:space="preserve">Orden de ejecución: </w:t>
      </w:r>
      <w:r>
        <w:rPr>
          <w:b/>
        </w:rPr>
        <w:t>1º riesgos críticos → 2º riesgos altos → 3º acciones de cumplimiento normativo</w:t>
      </w:r>
      <w:r>
        <w:t>. Cada acción se registra en la tabla siguiente y se le asigna responsable, plazo y presupuesto.</w:t>
      </w:r>
    </w:p>
    <w:p>
      <w:pPr>
        <w:pStyle w:val="Heading3"/>
      </w:pPr>
      <w:r>
        <w:rPr>
          <w:color w:val="1F3B63"/>
        </w:rPr>
        <w:t>5. Tabla de tratamiento de riesgos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ID (ID-03)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Opción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Acción / Control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Presupuesto (UYU)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072"/>
          </w:tcPr>
          <w:p>
            <w:r/>
            <w:r>
              <w:t>R-001</w:t>
            </w:r>
          </w:p>
        </w:tc>
        <w:tc>
          <w:tcPr>
            <w:tcW w:type="dxa" w:w="1072"/>
          </w:tcPr>
          <w:p>
            <w:r/>
            <w:r>
              <w:t>[COMPLETAR]</w:t>
            </w:r>
          </w:p>
        </w:tc>
        <w:tc>
          <w:tcPr>
            <w:tcW w:type="dxa" w:w="1072"/>
          </w:tcPr>
          <w:p>
            <w:r/>
            <w:r>
              <w:t>[COMPLETAR]</w:t>
            </w:r>
          </w:p>
        </w:tc>
        <w:tc>
          <w:tcPr>
            <w:tcW w:type="dxa" w:w="1072"/>
          </w:tcPr>
          <w:p>
            <w:r/>
            <w:r>
              <w:t>Mitigar</w:t>
            </w:r>
          </w:p>
        </w:tc>
        <w:tc>
          <w:tcPr>
            <w:tcW w:type="dxa" w:w="1072"/>
          </w:tcPr>
          <w:p>
            <w:r/>
            <w:r>
              <w:t>[COMPLETAR: qué control se implementa]</w:t>
            </w:r>
          </w:p>
        </w:tc>
        <w:tc>
          <w:tcPr>
            <w:tcW w:type="dxa" w:w="1072"/>
          </w:tcPr>
          <w:p>
            <w:r/>
            <w:r>
              <w:t>[COMPLETAR]</w:t>
            </w:r>
          </w:p>
        </w:tc>
        <w:tc>
          <w:tcPr>
            <w:tcW w:type="dxa" w:w="1072"/>
          </w:tcPr>
          <w:p>
            <w:r/>
            <w:r>
              <w:t>[COMPLETAR]</w:t>
            </w:r>
          </w:p>
        </w:tc>
        <w:tc>
          <w:tcPr>
            <w:tcW w:type="dxa" w:w="1072"/>
          </w:tcPr>
          <w:p>
            <w:r/>
            <w:r>
              <w:t>[COMPLETAR]</w:t>
            </w:r>
          </w:p>
        </w:tc>
        <w:tc>
          <w:tcPr>
            <w:tcW w:type="dxa" w:w="1072"/>
          </w:tcPr>
          <w:p>
            <w:r/>
            <w:r>
              <w:t>[Pendiente/En curso/Cerrado]</w:t>
            </w:r>
          </w:p>
        </w:tc>
      </w:tr>
      <w:tr>
        <w:tc>
          <w:tcPr>
            <w:tcW w:type="dxa" w:w="1072"/>
          </w:tcPr>
          <w:p>
            <w:r/>
            <w:r>
              <w:t>R-002</w:t>
            </w:r>
          </w:p>
        </w:tc>
        <w:tc>
          <w:tcPr>
            <w:tcW w:type="dxa" w:w="1072"/>
          </w:tcPr>
          <w:p>
            <w:r/>
            <w:r>
              <w:t>[COMPLETAR]</w:t>
            </w:r>
          </w:p>
        </w:tc>
        <w:tc>
          <w:tcPr>
            <w:tcW w:type="dxa" w:w="1072"/>
          </w:tcPr>
          <w:p>
            <w:r/>
            <w:r>
              <w:t>[COMPLETAR]</w:t>
            </w:r>
          </w:p>
        </w:tc>
        <w:tc>
          <w:tcPr>
            <w:tcW w:type="dxa" w:w="1072"/>
          </w:tcPr>
          <w:p>
            <w:r/>
            <w:r>
              <w:t>Transferir</w:t>
            </w:r>
          </w:p>
        </w:tc>
        <w:tc>
          <w:tcPr>
            <w:tcW w:type="dxa" w:w="1072"/>
          </w:tcPr>
          <w:p>
            <w:r/>
            <w:r>
              <w:t>[COMPLETAR: póliza/contrato]</w:t>
            </w:r>
          </w:p>
        </w:tc>
        <w:tc>
          <w:tcPr>
            <w:tcW w:type="dxa" w:w="1072"/>
          </w:tcPr>
          <w:p>
            <w:r/>
            <w:r>
              <w:t>[COMPLETAR]</w:t>
            </w:r>
          </w:p>
        </w:tc>
        <w:tc>
          <w:tcPr>
            <w:tcW w:type="dxa" w:w="1072"/>
          </w:tcPr>
          <w:p>
            <w:r/>
            <w:r>
              <w:t>[COMPLETAR]</w:t>
            </w:r>
          </w:p>
        </w:tc>
        <w:tc>
          <w:tcPr>
            <w:tcW w:type="dxa" w:w="1072"/>
          </w:tcPr>
          <w:p>
            <w:r/>
            <w:r>
              <w:t>[COMPLETAR]</w:t>
            </w:r>
          </w:p>
        </w:tc>
        <w:tc>
          <w:tcPr>
            <w:tcW w:type="dxa" w:w="1072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6. Seguimiento e indicadores</w:t>
      </w:r>
    </w:p>
    <w:p>
      <w:pPr>
        <w:pStyle w:val="ListBullet"/>
      </w:pPr>
      <w:r>
        <w:rPr>
          <w:b/>
        </w:rPr>
        <w:t>Frecuencia de seguimiento:</w:t>
      </w:r>
      <w:r>
        <w:t xml:space="preserve"> [COMPLETAR: trimestral en el Comité de Seguridad].</w:t>
      </w:r>
    </w:p>
    <w:p>
      <w:pPr>
        <w:pStyle w:val="ListBullet"/>
      </w:pPr>
      <w:r>
        <w:rPr>
          <w:b/>
        </w:rPr>
        <w:t>Indicadores:</w:t>
      </w:r>
      <w:r>
        <w:t xml:space="preserve"> (a) % de acciones cerradas en plazo; (b) número de riesgos críticos abiertos; (c) % de riesgos altos/críticos con tratamiento aprobado; (d) variación del nivel de riesgo vs. la evaluación anterior.</w:t>
      </w:r>
    </w:p>
    <w:p>
      <w:pPr>
        <w:pStyle w:val="ListBullet"/>
      </w:pPr>
      <w:r>
        <w:rPr>
          <w:b/>
        </w:rPr>
        <w:t>Riesgos residuales:</w:t>
      </w:r>
      <w:r>
        <w:t xml:space="preserve"> todo riesgo que queda luego del tratamiento se documenta en la sección de riesgos aceptados de ID-03.</w:t>
      </w:r>
    </w:p>
    <w:p>
      <w:pPr>
        <w:pStyle w:val="Heading3"/>
      </w:pPr>
      <w:r>
        <w:rPr>
          <w:color w:val="1F3B63"/>
        </w:rPr>
        <w:t>7. Declaración de Aplicabilidad (SoA) — resumen</w:t>
      </w:r>
    </w:p>
    <w:p>
      <w:r>
        <w:t xml:space="preserve">La SoA completa se gestiona como anexo (GV-07) y recorre los </w:t>
      </w:r>
      <w:r>
        <w:rPr>
          <w:b/>
        </w:rPr>
        <w:t>93 controles del Anexo A 2022</w:t>
      </w:r>
      <w:r>
        <w:t>. Formato de la tabla: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Aplicado / No aplicado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Justificación (vinculación con riesgo)</w:t>
            </w:r>
          </w:p>
        </w:tc>
      </w:tr>
      <w:tr>
        <w:tc>
          <w:tcPr>
            <w:tcW w:type="dxa" w:w="2412"/>
          </w:tcPr>
          <w:p>
            <w:r/>
            <w:r>
              <w:t>A.5.9 Inventario de activos</w:t>
            </w:r>
          </w:p>
        </w:tc>
        <w:tc>
          <w:tcPr>
            <w:tcW w:type="dxa" w:w="2412"/>
          </w:tcPr>
          <w:p>
            <w:r/>
            <w:r>
              <w:t>[Aplicado/En implementación/No aplicado]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Cubre ID-01; mitiga riesgos sobre el core y la base de clientes</w:t>
            </w:r>
          </w:p>
        </w:tc>
      </w:tr>
      <w:tr>
        <w:tc>
          <w:tcPr>
            <w:tcW w:type="dxa" w:w="2412"/>
          </w:tcPr>
          <w:p>
            <w:r/>
            <w:r>
              <w:t>A.5.15 Control de acceso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Mitiga R-002 y R-004 (accesos, fraude interno)</w:t>
            </w:r>
          </w:p>
        </w:tc>
      </w:tr>
      <w:tr>
        <w:tc>
          <w:tcPr>
            <w:tcW w:type="dxa" w:w="2412"/>
          </w:tcPr>
          <w:p>
            <w:r/>
            <w:r>
              <w:t>A.6.3 Concientización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Reduce riesgo de phishing/ingeniería social</w:t>
            </w:r>
          </w:p>
        </w:tc>
      </w:tr>
      <w:tr>
        <w:tc>
          <w:tcPr>
            <w:tcW w:type="dxa" w:w="2412"/>
          </w:tcPr>
          <w:p>
            <w:r/>
            <w:r>
              <w:t>A.7.1 Perímetros físicos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Protege datacenter y sucursales</w:t>
            </w:r>
          </w:p>
        </w:tc>
      </w:tr>
      <w:tr>
        <w:tc>
          <w:tcPr>
            <w:tcW w:type="dxa" w:w="2412"/>
          </w:tcPr>
          <w:p>
            <w:r/>
            <w:r>
              <w:t>A.8.7 Protección contra malware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Mitiga R-001 (ransomware)</w:t>
            </w:r>
          </w:p>
        </w:tc>
      </w:tr>
      <w:tr>
        <w:tc>
          <w:tcPr>
            <w:tcW w:type="dxa" w:w="2412"/>
          </w:tcPr>
          <w:p>
            <w:r/>
            <w:r>
              <w:t>A.8.13 Copias de respaldo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[COMPLETAR]</w:t>
            </w:r>
          </w:p>
        </w:tc>
        <w:tc>
          <w:tcPr>
            <w:tcW w:type="dxa" w:w="2412"/>
          </w:tcPr>
          <w:p>
            <w:r/>
            <w:r>
              <w:t>Mitiga R-001/R-003; exigido por RNRCSF art. 492</w:t>
            </w:r>
          </w:p>
        </w:tc>
      </w:tr>
    </w:tbl>
    <w:p>
      <w:pPr>
        <w:pStyle w:val="Heading3"/>
      </w:pPr>
      <w:r>
        <w:rPr>
          <w:color w:val="1F3B63"/>
        </w:rPr>
        <w:t>8.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plan de tratamiento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Comité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se tratan los riesgos del ejemplo de ID-03.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Opción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Presupuesto (UYU)</w:t>
            </w:r>
          </w:p>
        </w:tc>
        <w:tc>
          <w:tcPr>
            <w:tcW w:type="dxa" w:w="1072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072"/>
          </w:tcPr>
          <w:p>
            <w:r/>
            <w:r>
              <w:t>R-001</w:t>
            </w:r>
          </w:p>
        </w:tc>
        <w:tc>
          <w:tcPr>
            <w:tcW w:type="dxa" w:w="1072"/>
          </w:tcPr>
          <w:p>
            <w:r/>
            <w:r>
              <w:t>Ransomware en el core</w:t>
            </w:r>
          </w:p>
        </w:tc>
        <w:tc>
          <w:tcPr>
            <w:tcW w:type="dxa" w:w="1072"/>
          </w:tcPr>
          <w:p>
            <w:r/>
            <w:r>
              <w:t>Crítico</w:t>
            </w:r>
          </w:p>
        </w:tc>
        <w:tc>
          <w:tcPr>
            <w:tcW w:type="dxa" w:w="1072"/>
          </w:tcPr>
          <w:p>
            <w:r/>
            <w:r>
              <w:t>Mitigar</w:t>
            </w:r>
          </w:p>
        </w:tc>
        <w:tc>
          <w:tcPr>
            <w:tcW w:type="dxa" w:w="1072"/>
          </w:tcPr>
          <w:p>
            <w:r/>
            <w:r>
              <w:t>Parcheo priorizado del core y bases; implementación de EDR; prueba trimestral de restauración de respaldos</w:t>
            </w:r>
          </w:p>
        </w:tc>
        <w:tc>
          <w:tcPr>
            <w:tcW w:type="dxa" w:w="1072"/>
          </w:tcPr>
          <w:p>
            <w:r/>
            <w:r>
              <w:t>Jefe Depto. Producción (D. Herrera)</w:t>
            </w:r>
          </w:p>
        </w:tc>
        <w:tc>
          <w:tcPr>
            <w:tcW w:type="dxa" w:w="1072"/>
          </w:tcPr>
          <w:p>
            <w:r/>
            <w:r>
              <w:t>90 días</w:t>
            </w:r>
          </w:p>
        </w:tc>
        <w:tc>
          <w:tcPr>
            <w:tcW w:type="dxa" w:w="1072"/>
          </w:tcPr>
          <w:p>
            <w:r/>
            <w:r>
              <w:t>[COMPLETAR: 8.000.000]</w:t>
            </w:r>
          </w:p>
        </w:tc>
        <w:tc>
          <w:tcPr>
            <w:tcW w:type="dxa" w:w="1072"/>
          </w:tcPr>
          <w:p>
            <w:r/>
            <w:r>
              <w:t>En curso</w:t>
            </w:r>
          </w:p>
        </w:tc>
      </w:tr>
      <w:tr>
        <w:tc>
          <w:tcPr>
            <w:tcW w:type="dxa" w:w="1072"/>
          </w:tcPr>
          <w:p>
            <w:r/>
            <w:r>
              <w:t>R-002</w:t>
            </w:r>
          </w:p>
        </w:tc>
        <w:tc>
          <w:tcPr>
            <w:tcW w:type="dxa" w:w="1072"/>
          </w:tcPr>
          <w:p>
            <w:r/>
            <w:r>
              <w:t>Filtración de datos personales</w:t>
            </w:r>
          </w:p>
        </w:tc>
        <w:tc>
          <w:tcPr>
            <w:tcW w:type="dxa" w:w="1072"/>
          </w:tcPr>
          <w:p>
            <w:r/>
            <w:r>
              <w:t>Crítico</w:t>
            </w:r>
          </w:p>
        </w:tc>
        <w:tc>
          <w:tcPr>
            <w:tcW w:type="dxa" w:w="1072"/>
          </w:tcPr>
          <w:p>
            <w:r/>
            <w:r>
              <w:t>Mitigar</w:t>
            </w:r>
          </w:p>
        </w:tc>
        <w:tc>
          <w:tcPr>
            <w:tcW w:type="dxa" w:w="1072"/>
          </w:tcPr>
          <w:p>
            <w:r/>
            <w:r>
              <w:t>Revisión y minimización de privilegios en la base de clientes; cifrado en reposo de expedientes</w:t>
            </w:r>
          </w:p>
        </w:tc>
        <w:tc>
          <w:tcPr>
            <w:tcW w:type="dxa" w:w="1072"/>
          </w:tcPr>
          <w:p>
            <w:r/>
            <w:r>
              <w:t>Div. TI</w:t>
            </w:r>
          </w:p>
        </w:tc>
        <w:tc>
          <w:tcPr>
            <w:tcW w:type="dxa" w:w="1072"/>
          </w:tcPr>
          <w:p>
            <w:r/>
            <w:r>
              <w:t>120 días</w:t>
            </w:r>
          </w:p>
        </w:tc>
        <w:tc>
          <w:tcPr>
            <w:tcW w:type="dxa" w:w="1072"/>
          </w:tcPr>
          <w:p>
            <w:r/>
            <w:r>
              <w:t>[COMPLETAR: 12.000.000]</w:t>
            </w:r>
          </w:p>
        </w:tc>
        <w:tc>
          <w:tcPr>
            <w:tcW w:type="dxa" w:w="1072"/>
          </w:tcPr>
          <w:p>
            <w:r/>
            <w:r>
              <w:t>Pendiente</w:t>
            </w:r>
          </w:p>
        </w:tc>
      </w:tr>
      <w:tr>
        <w:tc>
          <w:tcPr>
            <w:tcW w:type="dxa" w:w="1072"/>
          </w:tcPr>
          <w:p>
            <w:r/>
            <w:r>
              <w:t>R-003</w:t>
            </w:r>
          </w:p>
        </w:tc>
        <w:tc>
          <w:tcPr>
            <w:tcW w:type="dxa" w:w="1072"/>
          </w:tcPr>
          <w:p>
            <w:r/>
            <w:r>
              <w:t>Falla del sistema de pagos</w:t>
            </w:r>
          </w:p>
        </w:tc>
        <w:tc>
          <w:tcPr>
            <w:tcW w:type="dxa" w:w="1072"/>
          </w:tcPr>
          <w:p>
            <w:r/>
            <w:r>
              <w:t>Crítico</w:t>
            </w:r>
          </w:p>
        </w:tc>
        <w:tc>
          <w:tcPr>
            <w:tcW w:type="dxa" w:w="1072"/>
          </w:tcPr>
          <w:p>
            <w:r/>
            <w:r>
              <w:t>Mitigar</w:t>
            </w:r>
          </w:p>
        </w:tc>
        <w:tc>
          <w:tcPr>
            <w:tcW w:type="dxa" w:w="1072"/>
          </w:tcPr>
          <w:p>
            <w:r/>
            <w:r>
              <w:t>Prueba semestral de conmutación a sitio alterno; redundancia de enlaces con proveedor</w:t>
            </w:r>
          </w:p>
        </w:tc>
        <w:tc>
          <w:tcPr>
            <w:tcW w:type="dxa" w:w="1072"/>
          </w:tcPr>
          <w:p>
            <w:r/>
            <w:r>
              <w:t>Jefe Depto. Sistema de Pagos (G. Correa)</w:t>
            </w:r>
          </w:p>
        </w:tc>
        <w:tc>
          <w:tcPr>
            <w:tcW w:type="dxa" w:w="1072"/>
          </w:tcPr>
          <w:p>
            <w:r/>
            <w:r>
              <w:t>60 días</w:t>
            </w:r>
          </w:p>
        </w:tc>
        <w:tc>
          <w:tcPr>
            <w:tcW w:type="dxa" w:w="1072"/>
          </w:tcPr>
          <w:p>
            <w:r/>
            <w:r>
              <w:t>[COMPLETAR: 6.500.000]</w:t>
            </w:r>
          </w:p>
        </w:tc>
        <w:tc>
          <w:tcPr>
            <w:tcW w:type="dxa" w:w="1072"/>
          </w:tcPr>
          <w:p>
            <w:r/>
            <w:r>
              <w:t>En curso</w:t>
            </w:r>
          </w:p>
        </w:tc>
      </w:tr>
      <w:tr>
        <w:tc>
          <w:tcPr>
            <w:tcW w:type="dxa" w:w="1072"/>
          </w:tcPr>
          <w:p>
            <w:r/>
            <w:r>
              <w:t>R-004</w:t>
            </w:r>
          </w:p>
        </w:tc>
        <w:tc>
          <w:tcPr>
            <w:tcW w:type="dxa" w:w="1072"/>
          </w:tcPr>
          <w:p>
            <w:r/>
            <w:r>
              <w:t>Fraude interno</w:t>
            </w:r>
          </w:p>
        </w:tc>
        <w:tc>
          <w:tcPr>
            <w:tcW w:type="dxa" w:w="1072"/>
          </w:tcPr>
          <w:p>
            <w:r/>
            <w:r>
              <w:t>Alto</w:t>
            </w:r>
          </w:p>
        </w:tc>
        <w:tc>
          <w:tcPr>
            <w:tcW w:type="dxa" w:w="1072"/>
          </w:tcPr>
          <w:p>
            <w:r/>
            <w:r>
              <w:t>Mitigar</w:t>
            </w:r>
          </w:p>
        </w:tc>
        <w:tc>
          <w:tcPr>
            <w:tcW w:type="dxa" w:w="1072"/>
          </w:tcPr>
          <w:p>
            <w:r/>
            <w:r>
              <w:t>Segregación de funciones en operaciones; revisión trimestral de accesos; monitoreo de sesiones privilegiadas</w:t>
            </w:r>
          </w:p>
        </w:tc>
        <w:tc>
          <w:tcPr>
            <w:tcW w:type="dxa" w:w="1072"/>
          </w:tcPr>
          <w:p>
            <w:r/>
            <w:r>
              <w:t>Área de Riesgos</w:t>
            </w:r>
          </w:p>
        </w:tc>
        <w:tc>
          <w:tcPr>
            <w:tcW w:type="dxa" w:w="1072"/>
          </w:tcPr>
          <w:p>
            <w:r/>
            <w:r>
              <w:t>120 días</w:t>
            </w:r>
          </w:p>
        </w:tc>
        <w:tc>
          <w:tcPr>
            <w:tcW w:type="dxa" w:w="1072"/>
          </w:tcPr>
          <w:p>
            <w:r/>
            <w:r>
              <w:t>[COMPLETAR: 3.000.000]</w:t>
            </w:r>
          </w:p>
        </w:tc>
        <w:tc>
          <w:tcPr>
            <w:tcW w:type="dxa" w:w="1072"/>
          </w:tcPr>
          <w:p>
            <w:r/>
            <w:r>
              <w:t>Pendiente</w:t>
            </w:r>
          </w:p>
        </w:tc>
      </w:tr>
      <w:tr>
        <w:tc>
          <w:tcPr>
            <w:tcW w:type="dxa" w:w="1072"/>
          </w:tcPr>
          <w:p>
            <w:r/>
            <w:r>
              <w:t>R-005</w:t>
            </w:r>
          </w:p>
        </w:tc>
        <w:tc>
          <w:tcPr>
            <w:tcW w:type="dxa" w:w="1072"/>
          </w:tcPr>
          <w:p>
            <w:r/>
            <w:r>
              <w:t>Fuga por tercero</w:t>
            </w:r>
          </w:p>
        </w:tc>
        <w:tc>
          <w:tcPr>
            <w:tcW w:type="dxa" w:w="1072"/>
          </w:tcPr>
          <w:p>
            <w:r/>
            <w:r>
              <w:t>Alto</w:t>
            </w:r>
          </w:p>
        </w:tc>
        <w:tc>
          <w:tcPr>
            <w:tcW w:type="dxa" w:w="1072"/>
          </w:tcPr>
          <w:p>
            <w:r/>
            <w:r>
              <w:t>Transferir</w:t>
            </w:r>
          </w:p>
        </w:tc>
        <w:tc>
          <w:tcPr>
            <w:tcW w:type="dxa" w:w="1072"/>
          </w:tcPr>
          <w:p>
            <w:r/>
            <w:r>
              <w:t>Nuevo contrato con cláusulas de seguridad y póliza cibernética; auditoría anual del proveedor de nube</w:t>
            </w:r>
          </w:p>
        </w:tc>
        <w:tc>
          <w:tcPr>
            <w:tcW w:type="dxa" w:w="1072"/>
          </w:tcPr>
          <w:p>
            <w:r/>
            <w:r>
              <w:t>Compras y Contrataciones</w:t>
            </w:r>
          </w:p>
        </w:tc>
        <w:tc>
          <w:tcPr>
            <w:tcW w:type="dxa" w:w="1072"/>
          </w:tcPr>
          <w:p>
            <w:r/>
            <w:r>
              <w:t>90 días</w:t>
            </w:r>
          </w:p>
        </w:tc>
        <w:tc>
          <w:tcPr>
            <w:tcW w:type="dxa" w:w="1072"/>
          </w:tcPr>
          <w:p>
            <w:r/>
            <w:r>
              <w:t>[COMPLETAR: 4.500.000]</w:t>
            </w:r>
          </w:p>
        </w:tc>
        <w:tc>
          <w:tcPr>
            <w:tcW w:type="dxa" w:w="1072"/>
          </w:tcPr>
          <w:p>
            <w:r/>
            <w:r>
              <w:t>En curso</w:t>
            </w:r>
          </w:p>
        </w:tc>
      </w:tr>
      <w:tr>
        <w:tc>
          <w:tcPr>
            <w:tcW w:type="dxa" w:w="1072"/>
          </w:tcPr>
          <w:p>
            <w:r/>
            <w:r>
              <w:t>R-006</w:t>
            </w:r>
          </w:p>
        </w:tc>
        <w:tc>
          <w:tcPr>
            <w:tcW w:type="dxa" w:w="1072"/>
          </w:tcPr>
          <w:p>
            <w:r/>
            <w:r>
              <w:t>Indisponibilidad de Banco En Línea</w:t>
            </w:r>
          </w:p>
        </w:tc>
        <w:tc>
          <w:tcPr>
            <w:tcW w:type="dxa" w:w="1072"/>
          </w:tcPr>
          <w:p>
            <w:r/>
            <w:r>
              <w:t>Alto</w:t>
            </w:r>
          </w:p>
        </w:tc>
        <w:tc>
          <w:tcPr>
            <w:tcW w:type="dxa" w:w="1072"/>
          </w:tcPr>
          <w:p>
            <w:r/>
            <w:r>
              <w:t>Mitigar</w:t>
            </w:r>
          </w:p>
        </w:tc>
        <w:tc>
          <w:tcPr>
            <w:tcW w:type="dxa" w:w="1072"/>
          </w:tcPr>
          <w:p>
            <w:r/>
            <w:r>
              <w:t>Contratación de protección anti-DDoS; arquitectura de alta disponibilidad</w:t>
            </w:r>
          </w:p>
        </w:tc>
        <w:tc>
          <w:tcPr>
            <w:tcW w:type="dxa" w:w="1072"/>
          </w:tcPr>
          <w:p>
            <w:r/>
            <w:r>
              <w:t>Div. TI</w:t>
            </w:r>
          </w:p>
        </w:tc>
        <w:tc>
          <w:tcPr>
            <w:tcW w:type="dxa" w:w="1072"/>
          </w:tcPr>
          <w:p>
            <w:r/>
            <w:r>
              <w:t>60 días</w:t>
            </w:r>
          </w:p>
        </w:tc>
        <w:tc>
          <w:tcPr>
            <w:tcW w:type="dxa" w:w="1072"/>
          </w:tcPr>
          <w:p>
            <w:r/>
            <w:r>
              <w:t>[COMPLETAR: 5.000.000]</w:t>
            </w:r>
          </w:p>
        </w:tc>
        <w:tc>
          <w:tcPr>
            <w:tcW w:type="dxa" w:w="1072"/>
          </w:tcPr>
          <w:p>
            <w:r/>
            <w:r>
              <w:t>Pendiente</w:t>
            </w:r>
          </w:p>
        </w:tc>
      </w:tr>
    </w:tbl>
    <w:p>
      <w:r>
        <w:rPr>
          <w:b/>
        </w:rPr>
        <w:t>Seguimiento (ejemplo):</w:t>
      </w:r>
      <w:r>
        <w:t xml:space="preserve"> el Comité revisa el plan trimestralmente. Indicador objetivo del primer año: cerrar el 100 % de las acciones críticas y reducir el número de riesgos críticos de 3 a 0. El avance se reporta en GV-06.</w:t>
      </w:r>
    </w:p>
    <w:p>
      <w:r>
        <w:rPr>
          <w:b/>
        </w:rPr>
        <w:t>SoA (ejemplo):</w:t>
      </w:r>
      <w:r>
        <w:t xml:space="preserve"> por cada control del Anexo A se marca estado y justificación. Por ejemplo, A.8.13 (respaldo) = "Aplicado" y su justificación cita el RNRCSF art. 492 y el riesgo R-001; A.6.8 (desarrollo de políticas de seguridad) = "Aplicado" y cubre GV-01/PR-08.</w:t>
      </w:r>
    </w:p>
    <w:p>
      <w:r>
        <w:rPr>
          <w:b/>
        </w:rPr>
        <w:t>Documentos relacionados:</w:t>
      </w:r>
      <w:r>
        <w:t xml:space="preserve"> ID-03 (Análisis de riesgos) · ID-02 (Metodología) · GV-07 (SoA) · BCU-02 (Marco de riesgos) · PR-01…08 (controles de protección) · GV-06 (Informe del RSI).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