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PR-01 · Política de Control de Acceso y Gestión de Identidades del Banco</w:t>
      </w:r>
    </w:p>
    <w:p>
      <w:pPr>
        <w:ind w:left="432"/>
      </w:pPr>
      <w:r>
        <w:rPr>
          <w:i/>
          <w:color w:val="606060"/>
        </w:rPr>
        <w:t>**Función del MCU 5.0:** Proteger (PR.AA — Gestión de identidades, credenciales y acceso)</w:t>
      </w:r>
    </w:p>
    <w:p>
      <w:pPr>
        <w:ind w:left="432"/>
      </w:pPr>
      <w:r>
        <w:rPr>
          <w:i/>
          <w:color w:val="606060"/>
        </w:rPr>
        <w:t>**ISO/IEC 27001:** A.5.15 (Control de acceso) · A.8.2 (Derechos de acceso privilegiado) · A.8.5 (Gestión de autenticación de usuarios)</w:t>
      </w:r>
    </w:p>
    <w:p>
      <w:pPr>
        <w:ind w:left="432"/>
      </w:pPr>
      <w:r>
        <w:rPr>
          <w:i/>
          <w:color w:val="606060"/>
        </w:rPr>
        <w:t>**BCU:** Estándares Mínimos de Gestión — Riesgo tecnológico; RNRCSF art. 492</w:t>
      </w:r>
    </w:p>
    <w:p>
      <w:pPr>
        <w:ind w:left="432"/>
      </w:pPr>
      <w:r>
        <w:rPr>
          <w:i/>
          <w:color w:val="606060"/>
        </w:rPr>
        <w:t>**URCDP:** Ley 18.331 art. 10 (medidas de seguridad) · Decreto 64/020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control de acceso</w:t>
      </w:r>
      <w:r>
        <w:t xml:space="preserve"> es la primera línea de defensa de un banco: garantiza que cada persona, sistema o proceso solo acceda a los datos y recursos que necesita para cumplir su función. Una gestión deficiente de identidades es la puerta de entrada de la mayor parte de los incidentes internos y externos (cuentas de exfuncionarios que siguen activas, credenciales compartidas, privilegios excesivos que un atacante aprovecha tras comprometer una cuenta).</w:t>
      </w:r>
    </w:p>
    <w:p>
      <w:r>
        <w:t xml:space="preserve">Esta política define cómo el Banco administra el </w:t>
      </w:r>
      <w:r>
        <w:rPr>
          <w:b/>
        </w:rPr>
        <w:t>ciclo de vida completo de las identidades</w:t>
      </w:r>
      <w:r>
        <w:t xml:space="preserve"> (alta, modificación, baja), cómo se asignan los permisos bajo el </w:t>
      </w:r>
      <w:r>
        <w:rPr>
          <w:b/>
        </w:rPr>
        <w:t>principio de menor privilegio</w:t>
      </w:r>
      <w:r>
        <w:t>, cómo se autentican los usuarios y cómo se revisan periódicamente los accesos para que nadie tenga más de lo que le corresponde. Sin esta política, las áreas de Sistemas y de Riesgos operarían sin reglas comunes y el banco no podría demostrar ante el BCU, Agesic o la URCDP que controla quién accede a qué.</w:t>
      </w:r>
    </w:p>
    <w:p>
      <w:r>
        <w:t xml:space="preserve">En el Banco, que custodia el ahorro de miles de familias uruguayas y opera el </w:t>
      </w:r>
      <w:r>
        <w:rPr>
          <w:b/>
        </w:rPr>
        <w:t>core bancario hipotecario</w:t>
      </w:r>
      <w:r>
        <w:t xml:space="preserve">, el </w:t>
      </w:r>
      <w:r>
        <w:rPr>
          <w:b/>
        </w:rPr>
        <w:t>Banco En Línea</w:t>
      </w:r>
      <w:r>
        <w:t xml:space="preserve">, el </w:t>
      </w:r>
      <w:r>
        <w:rPr>
          <w:b/>
        </w:rPr>
        <w:t>sistema de pagos</w:t>
      </w:r>
      <w:r>
        <w:t xml:space="preserve"> y bases de datos personales, cada cuenta es un activo. Esta política es obligatoria para funcionarios, contratistas, terceros y cualquier sistema que se conecte a la red del banco, incluso de forma remota.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Requisito aplicable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4824"/>
          </w:tcPr>
          <w:p>
            <w:r/>
            <w:r>
              <w:t>PR.AA — gestión de identidades, credenciales y acceso según perfil; autenticación robusta; revisión de derechos de acceso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4824"/>
          </w:tcPr>
          <w:p>
            <w:r/>
            <w:r>
              <w:t>A.5.15 control de acceso; A.8.2 acceso privilegiado; A.8.3 restricción de información; A.8.5 autenticación segura; A.8.18 protección de código malicioso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4824"/>
          </w:tcPr>
          <w:p>
            <w:r/>
            <w:r>
              <w:t>EMG · Riesgo tecnológico (gestión de accesos como control crítico); RNRCSF art. 492; Circular 2280 (seguridad del sistema de pagos)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4824"/>
          </w:tcPr>
          <w:p>
            <w:r/>
            <w:r>
              <w:t>Ley 18.331 art. 10 (medidas de seguridad que garanticen confidencialidad e integridad); Decreto 64/020 art. 21 (medidas técnicas de seguridad)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(código, versión, fecha de aprobación). La versión 1.0 la aprueba el Comité de Seguridad de la Información a propuesta del RSI.</w:t>
      </w:r>
    </w:p>
    <w:p>
      <w:pPr>
        <w:pStyle w:val="ListNumber"/>
      </w:pPr>
      <w:r>
        <w:rPr>
          <w:b/>
        </w:rPr>
        <w:t>Definí con el Área Operaciones y TI</w:t>
      </w:r>
      <w:r>
        <w:t xml:space="preserve"> (División TI: Jefes de Sistemas, Producción y Soporte) cuáles son los sistemas críticos a proteger: core bancario, Banco En Línea, sistema de pagos, herramientas de administración.</w:t>
      </w:r>
    </w:p>
    <w:p>
      <w:pPr>
        <w:pStyle w:val="ListNumber"/>
      </w:pPr>
      <w:r>
        <w:rPr>
          <w:b/>
        </w:rPr>
        <w:t>Coordiná con el Departamento de Información y Apoyo Comercial</w:t>
      </w:r>
      <w:r>
        <w:t xml:space="preserve"> y con </w:t>
      </w:r>
      <w:r>
        <w:rPr>
          <w:b/>
        </w:rPr>
        <w:t>División Capital Humano</w:t>
      </w:r>
      <w:r>
        <w:t xml:space="preserve"> los procedimientos de alta y baja de funcionarios (el "evento de RRHH" dispara el alta/baja de cuentas).</w:t>
      </w:r>
    </w:p>
    <w:p>
      <w:pPr>
        <w:pStyle w:val="ListNumber"/>
      </w:pPr>
      <w:r>
        <w:rPr>
          <w:b/>
        </w:rPr>
        <w:t>Personalizá los apartados [COMPLETAR]</w:t>
      </w:r>
      <w:r>
        <w:t xml:space="preserve"> con los tiempos reales de revisión de accesos (se recomienda revisión trimestral para cuentas privilegiadas).</w:t>
      </w:r>
    </w:p>
    <w:p>
      <w:pPr>
        <w:pStyle w:val="ListNumber"/>
      </w:pPr>
      <w:r>
        <w:rPr>
          <w:b/>
        </w:rPr>
        <w:t>Definí la matriz de roles y perfiles</w:t>
      </w:r>
      <w:r>
        <w:t xml:space="preserve"> (apartado 4.4) con el Jefe de Riesgos No Financieros y el Oficial de Cumplimiento, para garantizar separación de funciones.</w:t>
      </w:r>
    </w:p>
    <w:p>
      <w:pPr>
        <w:pStyle w:val="ListNumber"/>
      </w:pPr>
      <w:r>
        <w:rPr>
          <w:b/>
        </w:rPr>
        <w:t>Aprobá, registrá el cambio en el control de cambios</w:t>
      </w:r>
      <w:r>
        <w:t xml:space="preserve"> y publicá en la carpeta </w:t>
      </w:r>
      <w:r>
        <w:rPr>
          <w:rFonts w:ascii="Consolas" w:hAnsi="Consolas"/>
          <w:sz w:val="20"/>
        </w:rPr>
        <w:t>02-ENTREGABLES/C-PROTEGER</w:t>
      </w:r>
      <w:r>
        <w:t>. Revisá al menos cada año o ante cambios de estructura orgánica.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PR-01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Política de Control de Acceso y Gestión de Identidades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Establecer las reglas para garantizar que el acceso a la información y a los sistemas del Banco sea </w:t>
      </w:r>
      <w:r>
        <w:rPr>
          <w:b/>
        </w:rPr>
        <w:t>autorizado, trazable y revocable</w:t>
      </w:r>
      <w:r>
        <w:t>, mediante una gestión ordenada del ciclo de vida de las identidades y la aplicación del principio de menor privilegio.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todos los funcionarios, contratistas, pasantes, proveedores y terceros que accedan a los sistemas o instalaciones del Banco; a todas las identidades lógicas (usuarios de red, aplicaciones, base de datos, correo, Banco En Línea) y cuentas de servicio]. Aplica también a los accesos remotos y a los sistemas administrados por terceros que procesen datos del banco.</w:t>
      </w:r>
    </w:p>
    <w:p>
      <w:pPr>
        <w:pStyle w:val="Heading3"/>
      </w:pPr>
      <w:r>
        <w:rPr>
          <w:color w:val="1F3B63"/>
        </w:rPr>
        <w:t>3. Principios</w:t>
      </w:r>
    </w:p>
    <w:p>
      <w:r>
        <w:t xml:space="preserve">a) </w:t>
      </w:r>
      <w:r>
        <w:rPr>
          <w:b/>
        </w:rPr>
        <w:t>Menor privilegio:</w:t>
      </w:r>
      <w:r>
        <w:t xml:space="preserve"> cada usuario recibe solo los permisos necesarios para su función.</w:t>
      </w:r>
    </w:p>
    <w:p>
      <w:r>
        <w:t xml:space="preserve">b) </w:t>
      </w:r>
      <w:r>
        <w:rPr>
          <w:b/>
        </w:rPr>
        <w:t>Uso individual:</w:t>
      </w:r>
      <w:r>
        <w:t xml:space="preserve"> las credenciales son personales e intransferibles; está prohibido compartirlas.</w:t>
      </w:r>
    </w:p>
    <w:p>
      <w:r>
        <w:t xml:space="preserve">c) </w:t>
      </w:r>
      <w:r>
        <w:rPr>
          <w:b/>
        </w:rPr>
        <w:t>Ciclo de vida gestionado:</w:t>
      </w:r>
      <w:r>
        <w:t xml:space="preserve"> toda identidad se crea, modifica y elimina a partir de un evento formal (ingreso, cambio de función, egreso).</w:t>
      </w:r>
    </w:p>
    <w:p>
      <w:r>
        <w:t xml:space="preserve">d) </w:t>
      </w:r>
      <w:r>
        <w:rPr>
          <w:b/>
        </w:rPr>
        <w:t>Trazabilidad:</w:t>
      </w:r>
      <w:r>
        <w:t xml:space="preserve"> toda acción sobre los sistemas debe poder atribuirse a una identidad.</w:t>
      </w:r>
    </w:p>
    <w:p>
      <w:r>
        <w:t xml:space="preserve">e) </w:t>
      </w:r>
      <w:r>
        <w:rPr>
          <w:b/>
        </w:rPr>
        <w:t>Separación de funciones:</w:t>
      </w:r>
      <w:r>
        <w:t xml:space="preserve"> ninguna persona debe concentrar funciones incompatibles (p. ej., autorizar y ejecutar pagos).</w:t>
      </w:r>
    </w:p>
    <w:p>
      <w:pPr>
        <w:pStyle w:val="Heading3"/>
      </w:pPr>
      <w:r>
        <w:rPr>
          <w:color w:val="1F3B63"/>
        </w:rPr>
        <w:t>4. Gestión del ciclo de vida de las identidades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Etapa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Regla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Alta</w:t>
            </w:r>
          </w:p>
        </w:tc>
        <w:tc>
          <w:tcPr>
            <w:tcW w:type="dxa" w:w="3216"/>
          </w:tcPr>
          <w:p>
            <w:r/>
            <w:r>
              <w:t>Div. TI + Capital Humano</w:t>
            </w:r>
          </w:p>
        </w:tc>
        <w:tc>
          <w:tcPr>
            <w:tcW w:type="dxa" w:w="3216"/>
          </w:tcPr>
          <w:p>
            <w:r/>
            <w:r>
              <w:t>Solo con solicitud firmada del jefe del área; identidad única por persona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Modificación</w:t>
            </w:r>
          </w:p>
        </w:tc>
        <w:tc>
          <w:tcPr>
            <w:tcW w:type="dxa" w:w="3216"/>
          </w:tcPr>
          <w:p>
            <w:r/>
            <w:r>
              <w:t>Div. TI</w:t>
            </w:r>
          </w:p>
        </w:tc>
        <w:tc>
          <w:tcPr>
            <w:tcW w:type="dxa" w:w="3216"/>
          </w:tcPr>
          <w:p>
            <w:r/>
            <w:r>
              <w:t>Cuando cambia la función; se ajustan roles y perfiles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Baja</w:t>
            </w:r>
          </w:p>
        </w:tc>
        <w:tc>
          <w:tcPr>
            <w:tcW w:type="dxa" w:w="3216"/>
          </w:tcPr>
          <w:p>
            <w:r/>
            <w:r>
              <w:t>Div. TI + Capital Humano</w:t>
            </w:r>
          </w:p>
        </w:tc>
        <w:tc>
          <w:tcPr>
            <w:tcW w:type="dxa" w:w="3216"/>
          </w:tcPr>
          <w:p>
            <w:r/>
            <w:r>
              <w:t>Inmediata al egreso o sanción; se desactiva el mismo día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Reactivación</w:t>
            </w:r>
          </w:p>
        </w:tc>
        <w:tc>
          <w:tcPr>
            <w:tcW w:type="dxa" w:w="3216"/>
          </w:tcPr>
          <w:p>
            <w:r/>
            <w:r>
              <w:t>Div. TI</w:t>
            </w:r>
          </w:p>
        </w:tc>
        <w:tc>
          <w:tcPr>
            <w:tcW w:type="dxa" w:w="3216"/>
          </w:tcPr>
          <w:p>
            <w:r/>
            <w:r>
              <w:t>Solo con nueva solicitud justificada</w:t>
            </w:r>
          </w:p>
        </w:tc>
      </w:tr>
    </w:tbl>
    <w:p>
      <w:pPr>
        <w:pStyle w:val="Heading3"/>
      </w:pPr>
      <w:r>
        <w:rPr>
          <w:color w:val="1F3B63"/>
        </w:rPr>
        <w:t>4.1. Registro de altas y bajas</w:t>
      </w:r>
    </w:p>
    <w:p>
      <w:r>
        <w:t xml:space="preserve">Se mantiene un </w:t>
      </w:r>
      <w:r>
        <w:rPr>
          <w:b/>
        </w:rPr>
        <w:t>registro centralizado de identidades</w:t>
      </w:r>
      <w:r>
        <w:t xml:space="preserve"> [COMPLETAR: herramienta de gestión de identidades y accesos (IAM) o directorio activo]. La baja de un funcionario se notifica el mismo día del egreso y el acceso se revoca en el plazo máximo de [COMPLETAR: 24 horas].</w:t>
      </w:r>
    </w:p>
    <w:p>
      <w:pPr>
        <w:pStyle w:val="Heading3"/>
      </w:pPr>
      <w:r>
        <w:rPr>
          <w:color w:val="1F3B63"/>
        </w:rPr>
        <w:t>4.2. Autenticación</w:t>
      </w:r>
    </w:p>
    <w:p>
      <w:pPr>
        <w:pStyle w:val="ListBullet"/>
      </w:pPr>
      <w:r>
        <w:t xml:space="preserve">Todo acceso requiere </w:t>
      </w:r>
      <w:r>
        <w:rPr>
          <w:b/>
        </w:rPr>
        <w:t>identificación y autenticación</w:t>
      </w:r>
      <w:r>
        <w:t xml:space="preserve"> con credenciales individuales.</w:t>
      </w:r>
    </w:p>
    <w:p>
      <w:pPr>
        <w:pStyle w:val="ListBullet"/>
      </w:pPr>
      <w:r>
        <w:t>Contraseñas: longitud mínima de [COMPLETAR: 12 caracteres], complejidad, prohibición de reutilización de las últimas [COMPLETAR: 5] contraseñas y rotación según riesgo.</w:t>
      </w:r>
    </w:p>
    <w:p>
      <w:pPr>
        <w:pStyle w:val="ListBullet"/>
      </w:pPr>
      <w:r>
        <w:rPr>
          <w:b/>
        </w:rPr>
        <w:t>MFA obligatorio</w:t>
      </w:r>
      <w:r>
        <w:t xml:space="preserve"> para: accesos privilegiados, accesos remotos, administración del core bancario y del sistema de pagos.</w:t>
      </w:r>
    </w:p>
    <w:p>
      <w:pPr>
        <w:pStyle w:val="ListBullet"/>
      </w:pPr>
      <w:r>
        <w:t>Se bloquea la cuenta tras [COMPLETAR: 5] intentos fallidos con procedimiento de desbloqueo controlado.</w:t>
      </w:r>
    </w:p>
    <w:p>
      <w:pPr>
        <w:pStyle w:val="Heading3"/>
      </w:pPr>
      <w:r>
        <w:rPr>
          <w:color w:val="1F3B63"/>
        </w:rPr>
        <w:t>4.3. Cuentas privilegiadas</w:t>
      </w:r>
    </w:p>
    <w:p>
      <w:pPr>
        <w:pStyle w:val="ListBullet"/>
      </w:pPr>
      <w:r>
        <w:t xml:space="preserve">Se listan todas las cuentas con privilegios de administrador (sistema, base de datos, red, aplicaciones) en un </w:t>
      </w:r>
      <w:r>
        <w:rPr>
          <w:b/>
        </w:rPr>
        <w:t>registro de cuentas privilegiadas</w:t>
      </w:r>
      <w:r>
        <w:t>.</w:t>
      </w:r>
    </w:p>
    <w:p>
      <w:pPr>
        <w:pStyle w:val="ListBullet"/>
      </w:pPr>
      <w:r>
        <w:t xml:space="preserve">Se usan cuentas de administración </w:t>
      </w:r>
      <w:r>
        <w:rPr>
          <w:b/>
        </w:rPr>
        <w:t>separadas de las cuentas de uso diario</w:t>
      </w:r>
      <w:r>
        <w:t xml:space="preserve"> (cuenta "de trabajo" sin privilegios + cuenta de administración).</w:t>
      </w:r>
    </w:p>
    <w:p>
      <w:pPr>
        <w:pStyle w:val="ListBullet"/>
      </w:pPr>
      <w:r>
        <w:t xml:space="preserve">Idealmente se usa una </w:t>
      </w:r>
      <w:r>
        <w:rPr>
          <w:b/>
        </w:rPr>
        <w:t>bóveda de credenciales privilegiadas</w:t>
      </w:r>
      <w:r>
        <w:t xml:space="preserve"> (Password Vault) con registro de cada uso.</w:t>
      </w:r>
    </w:p>
    <w:p>
      <w:pPr>
        <w:pStyle w:val="ListBullet"/>
      </w:pPr>
      <w:r>
        <w:t>Las credenciales privilegiadas se rotan al menos cada [COMPLETAR: 90 días] y ante sospecha de compromiso.</w:t>
      </w:r>
    </w:p>
    <w:p>
      <w:pPr>
        <w:pStyle w:val="Heading3"/>
      </w:pPr>
      <w:r>
        <w:rPr>
          <w:color w:val="1F3B63"/>
        </w:rPr>
        <w:t>4.4. Roles y perfiles de acceso</w:t>
      </w:r>
    </w:p>
    <w:p>
      <w:r>
        <w:t xml:space="preserve">El Banco define </w:t>
      </w:r>
      <w:r>
        <w:rPr>
          <w:b/>
        </w:rPr>
        <w:t>perfiles tipo</w:t>
      </w:r>
      <w:r>
        <w:t xml:space="preserve"> según función (operador de sucursal, oficial de crédito, administrador de sistemas, contador, auditor, etc.) en una matriz de roles aprobada por el Comité. Se aplica </w:t>
      </w:r>
      <w:r>
        <w:rPr>
          <w:b/>
        </w:rPr>
        <w:t>separación de funciones</w:t>
      </w:r>
      <w:r>
        <w:t xml:space="preserve"> en los procesos de alta exposición (pagos, aprobación de créditos, modificaciones de parámetros del core).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Perfil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Sistemas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Permisos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Criticidad</w:t>
            </w:r>
          </w:p>
        </w:tc>
      </w:tr>
      <w:tr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[Alta/Media/Baja]</w:t>
            </w:r>
          </w:p>
        </w:tc>
      </w:tr>
    </w:tbl>
    <w:p>
      <w:pPr>
        <w:pStyle w:val="Heading3"/>
      </w:pPr>
      <w:r>
        <w:rPr>
          <w:color w:val="1F3B63"/>
        </w:rPr>
        <w:t>4.5. Revisión periódica de accesos</w:t>
      </w:r>
    </w:p>
    <w:p>
      <w:pPr>
        <w:pStyle w:val="ListBullet"/>
      </w:pPr>
      <w:r>
        <w:t xml:space="preserve">Revisión de accesos </w:t>
      </w:r>
      <w:r>
        <w:rPr>
          <w:b/>
        </w:rPr>
        <w:t>privilegiados</w:t>
      </w:r>
      <w:r>
        <w:t>: cada [COMPLETAR: 90 días], por el dueño del activo junto con Div. TI.</w:t>
      </w:r>
    </w:p>
    <w:p>
      <w:pPr>
        <w:pStyle w:val="ListBullet"/>
      </w:pPr>
      <w:r>
        <w:t xml:space="preserve">Revisión de accesos </w:t>
      </w:r>
      <w:r>
        <w:rPr>
          <w:b/>
        </w:rPr>
        <w:t>de usuarios</w:t>
      </w:r>
      <w:r>
        <w:t>: al menos cada [COMPLETAR: 6 meses], por cada jefe de departamento sobre su equipo.</w:t>
      </w:r>
    </w:p>
    <w:p>
      <w:pPr>
        <w:pStyle w:val="ListBullet"/>
      </w:pPr>
      <w:r>
        <w:t>El resultado se documenta y las cuentas sin justificar se desactivan en [COMPLETAR: 5 días hábiles].</w:t>
      </w:r>
    </w:p>
    <w:p>
      <w:pPr>
        <w:pStyle w:val="Heading3"/>
      </w:pPr>
      <w:r>
        <w:rPr>
          <w:color w:val="1F3B63"/>
        </w:rPr>
        <w:t>4.6. Acceso remoto</w:t>
      </w:r>
    </w:p>
    <w:p>
      <w:pPr>
        <w:pStyle w:val="ListBullet"/>
      </w:pPr>
      <w:r>
        <w:t xml:space="preserve">Solo mediante </w:t>
      </w:r>
      <w:r>
        <w:rPr>
          <w:b/>
        </w:rPr>
        <w:t>VPN con MFA</w:t>
      </w:r>
      <w:r>
        <w:t xml:space="preserve"> y conexiones cifradas.</w:t>
      </w:r>
    </w:p>
    <w:p>
      <w:pPr>
        <w:pStyle w:val="ListBullet"/>
      </w:pPr>
      <w:r>
        <w:t>Autorizado por el jefe de departamento y habilitado por Div. TI.</w:t>
      </w:r>
    </w:p>
    <w:p>
      <w:pPr>
        <w:pStyle w:val="ListBullet"/>
      </w:pPr>
      <w:r>
        <w:t>Prohibido para tareas que no tengan autorización explícita; se registra la sesión [COMPLETAR: sí/no y herramienta].</w:t>
      </w:r>
    </w:p>
    <w:p>
      <w:pPr>
        <w:pStyle w:val="Heading3"/>
      </w:pPr>
      <w:r>
        <w:rPr>
          <w:color w:val="1F3B63"/>
        </w:rPr>
        <w:t>4.7.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Dueño del activo (área usuaria)</w:t>
            </w:r>
          </w:p>
        </w:tc>
        <w:tc>
          <w:tcPr>
            <w:tcW w:type="dxa" w:w="4824"/>
          </w:tcPr>
          <w:p>
            <w:r/>
            <w:r>
              <w:t>Definir y aprobar los accesos de su equipo; revisión periódica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TI</w:t>
            </w:r>
          </w:p>
        </w:tc>
        <w:tc>
          <w:tcPr>
            <w:tcW w:type="dxa" w:w="4824"/>
          </w:tcPr>
          <w:p>
            <w:r/>
            <w:r>
              <w:t>Implementar, administrar y revocar los accesos; gestión técnica de identidades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Supervisar el cumplimiento, analizar excepciones y reportar al Comité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Capital Humano</w:t>
            </w:r>
          </w:p>
        </w:tc>
        <w:tc>
          <w:tcPr>
            <w:tcW w:type="dxa" w:w="4824"/>
          </w:tcPr>
          <w:p>
            <w:r/>
            <w:r>
              <w:t>Notificar altas, modificaciones y bajas del personal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Auditoría Interna</w:t>
            </w:r>
          </w:p>
        </w:tc>
        <w:tc>
          <w:tcPr>
            <w:tcW w:type="dxa" w:w="4824"/>
          </w:tcPr>
          <w:p>
            <w:r/>
            <w:r>
              <w:t>Evaluar periódicamente la efectividad del control de accesos</w:t>
            </w:r>
          </w:p>
        </w:tc>
      </w:tr>
    </w:tbl>
    <w:p>
      <w:pPr>
        <w:pStyle w:val="Heading3"/>
      </w:pPr>
      <w:r>
        <w:rPr>
          <w:color w:val="1F3B63"/>
        </w:rPr>
        <w:t>5. Cumplimiento y excepciones</w:t>
      </w:r>
    </w:p>
    <w:p>
      <w:r>
        <w:t xml:space="preserve">Toda excepción requiere la aprobación del dueño del activo y del RSI, con </w:t>
      </w:r>
      <w:r>
        <w:rPr>
          <w:b/>
        </w:rPr>
        <w:t>fecha de vencimiento</w:t>
      </w:r>
      <w:r>
        <w:t xml:space="preserve"> y mitigaciones compensatorias. El incumplimiento se trata según el régimen disciplinario del Banco.</w:t>
      </w:r>
    </w:p>
    <w:p>
      <w:pPr>
        <w:pStyle w:val="Heading3"/>
      </w:pPr>
      <w:r>
        <w:rPr>
          <w:color w:val="1F3B63"/>
        </w:rPr>
        <w:t>6.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Comité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Comité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el apartado 4 completado. Adaptá al contenido institucional real del Banco.</w:t>
      </w:r>
    </w:p>
    <w:p>
      <w:r>
        <w:rPr>
          <w:b/>
        </w:rPr>
        <w:t>Autenticación (ejemplo):</w:t>
      </w:r>
    </w:p>
    <w:p>
      <w:pPr>
        <w:pStyle w:val="ListBullet"/>
      </w:pPr>
      <w:r>
        <w:t>Los funcionarios de sucursal acceden al core con usuario individual + contraseña de 12 caracteres y, para operaciones de alta sensibilidad, segundo factor.</w:t>
      </w:r>
    </w:p>
    <w:p>
      <w:pPr>
        <w:pStyle w:val="ListBullet"/>
      </w:pPr>
      <w:r>
        <w:t xml:space="preserve">Los administradores de la Div. TI que gestionan el core bancario y el sistema de pagos usan </w:t>
      </w:r>
      <w:r>
        <w:rPr>
          <w:b/>
        </w:rPr>
        <w:t>MFA con token o llave física (hardware)</w:t>
      </w:r>
      <w:r>
        <w:t xml:space="preserve">. Los accesos remotos de desarrollo y soporte (incluidos proveedores) exigen </w:t>
      </w:r>
      <w:r>
        <w:rPr>
          <w:b/>
        </w:rPr>
        <w:t>VPN + MFA</w:t>
      </w:r>
      <w:r>
        <w:t xml:space="preserve"> y se auditan mensualmente.</w:t>
      </w:r>
    </w:p>
    <w:p>
      <w:pPr>
        <w:pStyle w:val="ListBullet"/>
      </w:pPr>
      <w:r>
        <w:t>Las cuentas de servicio de integración entre sistemas (core → sistema de pagos → Banco En Línea) están registradas, con contraseñas rotadas cada 90 días y almacenadas en la bóveda de credenciales.</w:t>
      </w:r>
    </w:p>
    <w:p>
      <w:r>
        <w:rPr>
          <w:b/>
        </w:rPr>
        <w:t>Separación de funciones (ejemplo):</w:t>
      </w:r>
    </w:p>
    <w:p>
      <w:pPr>
        <w:pStyle w:val="ListBullet"/>
      </w:pPr>
      <w:r>
        <w:t xml:space="preserve">Un jefe de departamento de la Div. Operaciones puede </w:t>
      </w:r>
      <w:r>
        <w:rPr>
          <w:b/>
        </w:rPr>
        <w:t>cargar</w:t>
      </w:r>
      <w:r>
        <w:t xml:space="preserve"> una transferencia del sistema de pagos, pero la </w:t>
      </w:r>
      <w:r>
        <w:rPr>
          <w:b/>
        </w:rPr>
        <w:t>autorización</w:t>
      </w:r>
      <w:r>
        <w:t xml:space="preserve"> de pago exige una identidad distinta (segundo firmante). El oficial de crédito aprueba el préstamo pero no puede modificarlo luego del desembolso sin permiso de la Div. Sistemas.</w:t>
      </w:r>
    </w:p>
    <w:p>
      <w:pPr>
        <w:pStyle w:val="ListBullet"/>
      </w:pPr>
      <w:r>
        <w:t xml:space="preserve">Los auditores internos disponen de perfiles de </w:t>
      </w:r>
      <w:r>
        <w:rPr>
          <w:b/>
        </w:rPr>
        <w:t>solo lectura</w:t>
      </w:r>
      <w:r>
        <w:t xml:space="preserve"> y sus sesiones se registran por separado para preservar la independencia de la tercera línea.</w:t>
      </w:r>
    </w:p>
    <w:p>
      <w:r>
        <w:rPr>
          <w:b/>
        </w:rPr>
        <w:t>Revisión de accesos (ejemplo):</w:t>
      </w:r>
    </w:p>
    <w:p>
      <w:pPr>
        <w:pStyle w:val="ListBullet"/>
      </w:pPr>
      <w:r>
        <w:t>Cada 90 días el Gerente de Div. TI revisa con el RSI las cuentas privilegiadas; en 2026 se detectó que una cuenta de administración de un ex-proveedor seguía activa: se desactivó en el día y se corrigió el procedimiento de baja para terceros, acorde con PR-08.</w:t>
      </w:r>
    </w:p>
    <w:p>
      <w:r>
        <w:rPr>
          <w:b/>
        </w:rPr>
        <w:t>Documentos relacionados:</w:t>
      </w:r>
      <w:r>
        <w:t xml:space="preserve"> GV-01 (Política de Seguridad), ID-01 (Inventario de Activos), ID-02/03 (Riesgos), PR-04 (Seguridad Física), PR-08 (Confidencialidad y Terceros), RS-01 (Incidentes), DE-01 (Monitoreo y Registro).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