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PR-02 · Programa de Concientización y Capacitación en Seguridad del Banco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Proteger (PR.AT — Concientización y capacitación)</w:t>
      </w:r>
    </w:p>
    <w:p>
      <w:pPr>
        <w:ind w:left="432"/>
      </w:pPr>
      <w:r>
        <w:rPr>
          <w:i/>
          <w:color w:val="606060"/>
        </w:rPr>
        <w:t>**ISO/IEC 27001:** A.6.3 (Concientización, educación y formación sobre seguridad de la información)</w:t>
      </w:r>
    </w:p>
    <w:p>
      <w:pPr>
        <w:ind w:left="432"/>
      </w:pPr>
      <w:r>
        <w:rPr>
          <w:i/>
          <w:color w:val="606060"/>
        </w:rPr>
        <w:t>**BCU:** Estándares Mínimos de Gestión — Gobierno; Circular 2227 (riesgo operativo)</w:t>
      </w:r>
    </w:p>
    <w:p>
      <w:pPr>
        <w:ind w:left="432"/>
      </w:pPr>
      <w:r>
        <w:rPr>
          <w:i/>
          <w:color w:val="606060"/>
        </w:rPr>
        <w:t>**URCDP:** Ley 18.331 art. 29 (capacitar al personal que trata datos personales) · Decreto 64/020</w:t>
      </w:r>
    </w:p>
    <w:p>
      <w:pPr>
        <w:ind w:left="432"/>
      </w:pPr>
      <w:r>
        <w:rPr>
          <w:i/>
          <w:color w:val="606060"/>
        </w:rPr>
        <w:t>**Nivel del curso:** 🟢 Descubrir · 🟡 Practicar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Las personas son, a la vez, el eslabón más débil y la primera línea de defensa de la ciberseguridad. La gran mayoría de los incidentes que afectan a bancos uruguayos y del mundo comienza con un correo de </w:t>
      </w:r>
      <w:r>
        <w:rPr>
          <w:b/>
        </w:rPr>
        <w:t>phishing</w:t>
      </w:r>
      <w:r>
        <w:t>, una contraseña débil, un dispositivo extraviado o un funcionario que comparte información sin verificar a quién. Ninguna tecnología de protección reemplaza a un funcionario que sabe qué hacer (y qué no hacer) antes de que ocurra el incidente.</w:t>
      </w:r>
    </w:p>
    <w:p>
      <w:r>
        <w:t xml:space="preserve">Esta política establece el </w:t>
      </w:r>
      <w:r>
        <w:rPr>
          <w:b/>
        </w:rPr>
        <w:t>programa permanente</w:t>
      </w:r>
      <w:r>
        <w:t xml:space="preserve"> de concientización y capacitación del Banco: quiénes deben capacitarse, sobre qué temas, con qué frecuencia, con qué metodologías y —lo más importante— cómo se mide si la capacitación </w:t>
      </w:r>
      <w:r>
        <w:rPr>
          <w:b/>
        </w:rPr>
        <w:t>cambió el comportamiento</w:t>
      </w:r>
      <w:r>
        <w:t>. La URCDP exige expresamente (art. 29 de la Ley 18.331) que los responsables de bases de datos capaciten a su personal; el BCU espera ver evidencia de que la función de seguridad forma a la organización.</w:t>
      </w:r>
    </w:p>
    <w:p>
      <w:r>
        <w:t>En el Banco, la capacitación debe llegar a todos los perfiles: cajeros y oficiales de crédito en sucursal (que tratan datos personales a diario), analistas de crédito, personal del sistema de pagos, administradores de sistemas y gerentes. Cada grupo necesita un contenido y un nivel de profundidad acordes a su exposición al riesgo.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Requisito aplicable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4824"/>
          </w:tcPr>
          <w:p>
            <w:r/>
            <w:r>
              <w:t>PR.AT — concientización y capacitación del personal y terceros según sus funciones; medición de la eficacia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ISO/IEC 27001:2022</w:t>
            </w:r>
          </w:p>
        </w:tc>
        <w:tc>
          <w:tcPr>
            <w:tcW w:type="dxa" w:w="4824"/>
          </w:tcPr>
          <w:p>
            <w:r/>
            <w:r>
              <w:t>A.6.3 concientización, educación y formación; A.6.2 condiciones de contratación (competencias)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4824"/>
          </w:tcPr>
          <w:p>
            <w:r/>
            <w:r>
              <w:t>EMG · Gobierno (la función de seguridad forma a la organización); Circular 2227 (riesgo operativo)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4824"/>
          </w:tcPr>
          <w:p>
            <w:r/>
            <w:r>
              <w:t>Ley 18.331 art. 29 (capacitación del personal que trata datos personales); Decreto 64/020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Completá el encabezado</w:t>
      </w:r>
      <w:r>
        <w:t xml:space="preserve"> (código, versión, fecha). La aprueba el Comité de Seguridad de la Información.</w:t>
      </w:r>
    </w:p>
    <w:p>
      <w:pPr>
        <w:pStyle w:val="ListNumber"/>
      </w:pPr>
      <w:r>
        <w:rPr>
          <w:b/>
        </w:rPr>
        <w:t>Coordiná con División Capital Humano</w:t>
      </w:r>
      <w:r>
        <w:t xml:space="preserve"> (Jefe de Desarrollo de RRHH, Ing. Cecilia Cabrera): ellos poseen la plataforma de e-learning y los registros de asistencia del personal.</w:t>
      </w:r>
    </w:p>
    <w:p>
      <w:pPr>
        <w:pStyle w:val="ListNumber"/>
      </w:pPr>
      <w:r>
        <w:rPr>
          <w:b/>
        </w:rPr>
        <w:t>Definí el plan anual de capacitación</w:t>
      </w:r>
      <w:r>
        <w:t xml:space="preserve"> con el RSI y el DPD (los contenidos de datos personales los revisa el DPD).</w:t>
      </w:r>
    </w:p>
    <w:p>
      <w:pPr>
        <w:pStyle w:val="ListNumber"/>
      </w:pPr>
      <w:r>
        <w:rPr>
          <w:b/>
        </w:rPr>
        <w:t>Personalizá los apartados [COMPLETAR]</w:t>
      </w:r>
      <w:r>
        <w:t xml:space="preserve"> con los temas, frecuencias y metas concretas del año.</w:t>
      </w:r>
    </w:p>
    <w:p>
      <w:pPr>
        <w:pStyle w:val="ListNumber"/>
      </w:pPr>
      <w:r>
        <w:rPr>
          <w:b/>
        </w:rPr>
        <w:t>Establecé los indicadores de eficacia</w:t>
      </w:r>
      <w:r>
        <w:t xml:space="preserve"> (porcentaje de aprobación, tasa de caída en simulacros de phishing) y definí quién los reporta (RSI al Comité, semestral).</w:t>
      </w:r>
    </w:p>
    <w:p>
      <w:pPr>
        <w:pStyle w:val="ListNumber"/>
      </w:pPr>
      <w:r>
        <w:rPr>
          <w:b/>
        </w:rPr>
        <w:t>Aprobá, registrá en el control de cambios</w:t>
      </w:r>
      <w:r>
        <w:t xml:space="preserve"> y publicá en </w:t>
      </w:r>
      <w:r>
        <w:rPr>
          <w:rFonts w:ascii="Consolas" w:hAnsi="Consolas"/>
          <w:sz w:val="20"/>
        </w:rPr>
        <w:t>02-ENTREGABLES/C-PROTEGER</w:t>
      </w:r>
      <w:r>
        <w:t>. Revisá anualmente o ante incidentes de factor humano relevantes.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PR-02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Programa de Concientización y Capacitación en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DPD · Div. Capital Humano · Comité de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Desarrollar y mantener las </w:t>
      </w:r>
      <w:r>
        <w:rPr>
          <w:b/>
        </w:rPr>
        <w:t>competencias de seguridad de la información</w:t>
      </w:r>
      <w:r>
        <w:t xml:space="preserve"> de todos los funcionarios del Banco y de los terceros que presten servicios en sus instalaciones, y medir el impacto de la formación en el comportamiento real.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[COMPLETAR: todos los funcionarios del Banco, incluidos gerentes y dirección; contratistas, pasantes y proveedores con acceso a sistemas o información del banco; funcionarios nuevos desde su ingreso]. Incluye las modalidades presencial, virtual y los simulacros.</w:t>
      </w:r>
    </w:p>
    <w:p>
      <w:pPr>
        <w:pStyle w:val="Heading3"/>
      </w:pPr>
      <w:r>
        <w:rPr>
          <w:color w:val="1F3B63"/>
        </w:rPr>
        <w:t>3. Público objetivo y frecuencia mínima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Público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Contenido mínimo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Frecuencia mínima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Todos los funcionarios</w:t>
            </w:r>
          </w:p>
        </w:tc>
        <w:tc>
          <w:tcPr>
            <w:tcW w:type="dxa" w:w="3216"/>
          </w:tcPr>
          <w:p>
            <w:r/>
            <w:r>
              <w:t>Phishing, contraseñas, datos personales, dispositivos, reporte de incidentes</w:t>
            </w:r>
          </w:p>
        </w:tc>
        <w:tc>
          <w:tcPr>
            <w:tcW w:type="dxa" w:w="3216"/>
          </w:tcPr>
          <w:p>
            <w:r/>
            <w:r>
              <w:t>Anual (obligatorio) + refuerzos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Personal que trata datos personales</w:t>
            </w:r>
            <w:r>
              <w:t xml:space="preserve"> (sucursales, crédito, cobranzas)</w:t>
            </w:r>
          </w:p>
        </w:tc>
        <w:tc>
          <w:tcPr>
            <w:tcW w:type="dxa" w:w="3216"/>
          </w:tcPr>
          <w:p>
            <w:r/>
            <w:r>
              <w:t>URCDP, secreto bancario, derechos ARCO, manejo de datos</w:t>
            </w:r>
          </w:p>
        </w:tc>
        <w:tc>
          <w:tcPr>
            <w:tcW w:type="dxa" w:w="3216"/>
          </w:tcPr>
          <w:p>
            <w:r/>
            <w:r>
              <w:t>Anual + refuerzo específico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Personal de TI y del sistema de pagos</w:t>
            </w:r>
          </w:p>
        </w:tc>
        <w:tc>
          <w:tcPr>
            <w:tcW w:type="dxa" w:w="3216"/>
          </w:tcPr>
          <w:p>
            <w:r/>
            <w:r>
              <w:t>Seguridad en sistemas, parches, gestión de accesos, monitoreo</w:t>
            </w:r>
          </w:p>
        </w:tc>
        <w:tc>
          <w:tcPr>
            <w:tcW w:type="dxa" w:w="3216"/>
          </w:tcPr>
          <w:p>
            <w:r/>
            <w:r>
              <w:t>Semestral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Gerentes y jefes</w:t>
            </w:r>
          </w:p>
        </w:tc>
        <w:tc>
          <w:tcPr>
            <w:tcW w:type="dxa" w:w="3216"/>
          </w:tcPr>
          <w:p>
            <w:r/>
            <w:r>
              <w:t>Gobierno de la seguridad, riesgos, rol de liderazgo</w:t>
            </w:r>
          </w:p>
        </w:tc>
        <w:tc>
          <w:tcPr>
            <w:tcW w:type="dxa" w:w="3216"/>
          </w:tcPr>
          <w:p>
            <w:r/>
            <w:r>
              <w:t>Anual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Terceros y contratistas</w:t>
            </w:r>
          </w:p>
        </w:tc>
        <w:tc>
          <w:tcPr>
            <w:tcW w:type="dxa" w:w="3216"/>
          </w:tcPr>
          <w:p>
            <w:r/>
            <w:r>
              <w:t>Reglas de la política PR-01 y confidencialidad</w:t>
            </w:r>
          </w:p>
        </w:tc>
        <w:tc>
          <w:tcPr>
            <w:tcW w:type="dxa" w:w="3216"/>
          </w:tcPr>
          <w:p>
            <w:r/>
            <w:r>
              <w:t>Al ingreso y anual</w:t>
            </w:r>
          </w:p>
        </w:tc>
      </w:tr>
    </w:tbl>
    <w:p>
      <w:pPr>
        <w:pStyle w:val="Heading3"/>
      </w:pPr>
      <w:r>
        <w:rPr>
          <w:color w:val="1F3B63"/>
        </w:rPr>
        <w:t>4. Temas del programa</w:t>
      </w:r>
    </w:p>
    <w:p>
      <w:r>
        <w:t xml:space="preserve">a) </w:t>
      </w:r>
      <w:r>
        <w:rPr>
          <w:b/>
        </w:rPr>
        <w:t>Ingeniería social y phishing:</w:t>
      </w:r>
      <w:r>
        <w:t xml:space="preserve"> cómo reconocer correos, enlaces y llamadas fraudulentas.</w:t>
      </w:r>
    </w:p>
    <w:p>
      <w:r>
        <w:t xml:space="preserve">b) </w:t>
      </w:r>
      <w:r>
        <w:rPr>
          <w:b/>
        </w:rPr>
        <w:t>Contraseñas y autenticación:</w:t>
      </w:r>
      <w:r>
        <w:t xml:space="preserve"> buenas prácticas, MFA, uso individual de credenciales.</w:t>
      </w:r>
    </w:p>
    <w:p>
      <w:r>
        <w:t xml:space="preserve">c) </w:t>
      </w:r>
      <w:r>
        <w:rPr>
          <w:b/>
        </w:rPr>
        <w:t>Datos personales:</w:t>
      </w:r>
      <w:r>
        <w:t xml:space="preserve"> principio de confidencialidad, secreto bancario, base legal, derechos del titular.</w:t>
      </w:r>
    </w:p>
    <w:p>
      <w:r>
        <w:t xml:space="preserve">d) </w:t>
      </w:r>
      <w:r>
        <w:rPr>
          <w:b/>
        </w:rPr>
        <w:t>Dispositivos y estaciones de trabajo:</w:t>
      </w:r>
      <w:r>
        <w:t xml:space="preserve"> escritorio limpio, bloqueo de pantalla, equipos móviles, memorias USB.</w:t>
      </w:r>
    </w:p>
    <w:p>
      <w:r>
        <w:t xml:space="preserve">e) </w:t>
      </w:r>
      <w:r>
        <w:rPr>
          <w:b/>
        </w:rPr>
        <w:t>Incidentes:</w:t>
      </w:r>
      <w:r>
        <w:t xml:space="preserve"> qué reportar, a quién y cuándo (RS-01).</w:t>
      </w:r>
    </w:p>
    <w:p>
      <w:r>
        <w:t xml:space="preserve">f) </w:t>
      </w:r>
      <w:r>
        <w:rPr>
          <w:b/>
        </w:rPr>
        <w:t>Teletrabajo y acceso remoto:</w:t>
      </w:r>
      <w:r>
        <w:t xml:space="preserve"> VPN, lugares de trabajo, dispositivos personales.</w:t>
      </w:r>
    </w:p>
    <w:p>
      <w:pPr>
        <w:pStyle w:val="Heading3"/>
      </w:pPr>
      <w:r>
        <w:rPr>
          <w:color w:val="1F3B63"/>
        </w:rPr>
        <w:t>5. Metodologías</w:t>
      </w:r>
    </w:p>
    <w:p>
      <w:pPr>
        <w:pStyle w:val="ListBullet"/>
      </w:pPr>
      <w:r>
        <w:rPr>
          <w:b/>
        </w:rPr>
        <w:t>Curso e-learning</w:t>
      </w:r>
      <w:r>
        <w:t xml:space="preserve"> obligatorio anual con evaluación final (aprobación mínima [COMPLETAR: 80%]).</w:t>
      </w:r>
    </w:p>
    <w:p>
      <w:pPr>
        <w:pStyle w:val="ListBullet"/>
      </w:pPr>
      <w:r>
        <w:rPr>
          <w:b/>
        </w:rPr>
        <w:t>Inducción de seguridad</w:t>
      </w:r>
      <w:r>
        <w:t xml:space="preserve"> para nuevos ingresos (antes del alta de accesos).</w:t>
      </w:r>
    </w:p>
    <w:p>
      <w:pPr>
        <w:pStyle w:val="ListBullet"/>
      </w:pPr>
      <w:r>
        <w:rPr>
          <w:b/>
        </w:rPr>
        <w:t>Simulacros de phishing</w:t>
      </w:r>
      <w:r>
        <w:t xml:space="preserve"> periódicos (cada [COMPLETAR: 3 meses]) sobre cuentas institucionales.</w:t>
      </w:r>
    </w:p>
    <w:p>
      <w:pPr>
        <w:pStyle w:val="ListBullet"/>
      </w:pPr>
      <w:r>
        <w:rPr>
          <w:b/>
        </w:rPr>
        <w:t>Charlas y talleres</w:t>
      </w:r>
      <w:r>
        <w:t xml:space="preserve"> presenciales por área y campañas de comunicación interna.</w:t>
      </w:r>
    </w:p>
    <w:p>
      <w:pPr>
        <w:pStyle w:val="ListBullet"/>
      </w:pPr>
      <w:r>
        <w:rPr>
          <w:b/>
        </w:rPr>
        <w:t>Comunicados y afiches</w:t>
      </w:r>
      <w:r>
        <w:t xml:space="preserve"> en sucursales y en la intranet.</w:t>
      </w:r>
    </w:p>
    <w:p>
      <w:pPr>
        <w:pStyle w:val="Heading3"/>
      </w:pPr>
      <w:r>
        <w:rPr>
          <w:color w:val="1F3B63"/>
        </w:rPr>
        <w:t>6. Medición de eficacia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Indicador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Meta sugerida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Frecuencia de reporte</w:t>
            </w:r>
          </w:p>
        </w:tc>
      </w:tr>
      <w:tr>
        <w:tc>
          <w:tcPr>
            <w:tcW w:type="dxa" w:w="3216"/>
          </w:tcPr>
          <w:p>
            <w:r/>
            <w:r>
              <w:t>% de funcionarios que completan la capacitación anual</w:t>
            </w:r>
          </w:p>
        </w:tc>
        <w:tc>
          <w:tcPr>
            <w:tcW w:type="dxa" w:w="3216"/>
          </w:tcPr>
          <w:p>
            <w:r/>
            <w:r>
              <w:t>[COMPLETAR: ≥ 95%]</w:t>
            </w:r>
          </w:p>
        </w:tc>
        <w:tc>
          <w:tcPr>
            <w:tcW w:type="dxa" w:w="3216"/>
          </w:tcPr>
          <w:p>
            <w:r/>
            <w:r>
              <w:t>Trimestral</w:t>
            </w:r>
          </w:p>
        </w:tc>
      </w:tr>
      <w:tr>
        <w:tc>
          <w:tcPr>
            <w:tcW w:type="dxa" w:w="3216"/>
          </w:tcPr>
          <w:p>
            <w:r/>
            <w:r>
              <w:t>Tasa de caída en simulacros de phishing</w:t>
            </w:r>
          </w:p>
        </w:tc>
        <w:tc>
          <w:tcPr>
            <w:tcW w:type="dxa" w:w="3216"/>
          </w:tcPr>
          <w:p>
            <w:r/>
            <w:r>
              <w:t>[COMPLETAR: &lt; 10%]</w:t>
            </w:r>
          </w:p>
        </w:tc>
        <w:tc>
          <w:tcPr>
            <w:tcW w:type="dxa" w:w="3216"/>
          </w:tcPr>
          <w:p>
            <w:r/>
            <w:r>
              <w:t>Trimestral</w:t>
            </w:r>
          </w:p>
        </w:tc>
      </w:tr>
      <w:tr>
        <w:tc>
          <w:tcPr>
            <w:tcW w:type="dxa" w:w="3216"/>
          </w:tcPr>
          <w:p>
            <w:r/>
            <w:r>
              <w:t>% de aprobación del curso</w:t>
            </w:r>
          </w:p>
        </w:tc>
        <w:tc>
          <w:tcPr>
            <w:tcW w:type="dxa" w:w="3216"/>
          </w:tcPr>
          <w:p>
            <w:r/>
            <w:r>
              <w:t>[COMPLETAR: ≥ 80%]</w:t>
            </w:r>
          </w:p>
        </w:tc>
        <w:tc>
          <w:tcPr>
            <w:tcW w:type="dxa" w:w="3216"/>
          </w:tcPr>
          <w:p>
            <w:r/>
            <w:r>
              <w:t>Anual</w:t>
            </w:r>
          </w:p>
        </w:tc>
      </w:tr>
      <w:tr>
        <w:tc>
          <w:tcPr>
            <w:tcW w:type="dxa" w:w="3216"/>
          </w:tcPr>
          <w:p>
            <w:r/>
            <w:r>
              <w:t>Horas de capacitación por persona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  <w:tc>
          <w:tcPr>
            <w:tcW w:type="dxa" w:w="3216"/>
          </w:tcPr>
          <w:p>
            <w:r/>
            <w:r>
              <w:t>Anual</w:t>
            </w:r>
          </w:p>
        </w:tc>
      </w:tr>
      <w:tr>
        <w:tc>
          <w:tcPr>
            <w:tcW w:type="dxa" w:w="3216"/>
          </w:tcPr>
          <w:p>
            <w:r/>
            <w:r>
              <w:t>Tiempo de reporte de phishing (correos reenviados al RSI)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  <w:tc>
          <w:tcPr>
            <w:tcW w:type="dxa" w:w="3216"/>
          </w:tcPr>
          <w:p>
            <w:r/>
            <w:r>
              <w:t>Trimestral</w:t>
            </w:r>
          </w:p>
        </w:tc>
      </w:tr>
    </w:tbl>
    <w:p>
      <w:pPr>
        <w:pStyle w:val="Heading3"/>
      </w:pPr>
      <w:r>
        <w:rPr>
          <w:color w:val="1F3B63"/>
        </w:rPr>
        <w:t>7. Responsabilidades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RSI</w:t>
            </w:r>
          </w:p>
        </w:tc>
        <w:tc>
          <w:tcPr>
            <w:tcW w:type="dxa" w:w="4824"/>
          </w:tcPr>
          <w:p>
            <w:r/>
            <w:r>
              <w:t>Diseñar, coordinar, ejecutar simulacros y reportar indicadores al Comité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Div. Capital Humano</w:t>
            </w:r>
          </w:p>
        </w:tc>
        <w:tc>
          <w:tcPr>
            <w:tcW w:type="dxa" w:w="4824"/>
          </w:tcPr>
          <w:p>
            <w:r/>
            <w:r>
              <w:t>Plataforma, registro de asistencia, inducción, coordinación de horarios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DPD</w:t>
            </w:r>
          </w:p>
        </w:tc>
        <w:tc>
          <w:tcPr>
            <w:tcW w:type="dxa" w:w="4824"/>
          </w:tcPr>
          <w:p>
            <w:r/>
            <w:r>
              <w:t>Contenidos de protección de datos personales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Jefes de departamento</w:t>
            </w:r>
          </w:p>
        </w:tc>
        <w:tc>
          <w:tcPr>
            <w:tcW w:type="dxa" w:w="4824"/>
          </w:tcPr>
          <w:p>
            <w:r/>
            <w:r>
              <w:t>Garantizar la asistencia de sus equipos y el refuerzo local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Comité de Seguridad</w:t>
            </w:r>
          </w:p>
        </w:tc>
        <w:tc>
          <w:tcPr>
            <w:tcW w:type="dxa" w:w="4824"/>
          </w:tcPr>
          <w:p>
            <w:r/>
            <w:r>
              <w:t>Aprobar el plan anual y evaluar los resultados</w:t>
            </w:r>
          </w:p>
        </w:tc>
      </w:tr>
    </w:tbl>
    <w:p>
      <w:pPr>
        <w:pStyle w:val="Heading3"/>
      </w:pPr>
      <w:r>
        <w:rPr>
          <w:color w:val="1F3B63"/>
        </w:rPr>
        <w:t>8.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Comité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Comité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 de cómo quedaría el apartado 4 completado. Adaptá al contenido institucional real del Banco.</w:t>
      </w:r>
    </w:p>
    <w:p>
      <w:r>
        <w:rPr>
          <w:b/>
        </w:rPr>
        <w:t>Plan anual (ejemplo):</w:t>
      </w:r>
    </w:p>
    <w:p>
      <w:pPr>
        <w:pStyle w:val="ListBullet"/>
      </w:pPr>
      <w:r>
        <w:rPr>
          <w:b/>
        </w:rPr>
        <w:t>Febrero:</w:t>
      </w:r>
      <w:r>
        <w:t xml:space="preserve"> inducción de nuevos ingresos (Banco En Línea, sucursales y Div. TI) con módulo de seguridad de 2 horas y acuse de la Política de Seguridad.</w:t>
      </w:r>
    </w:p>
    <w:p>
      <w:pPr>
        <w:pStyle w:val="ListBullet"/>
      </w:pPr>
      <w:r>
        <w:rPr>
          <w:b/>
        </w:rPr>
        <w:t>Marzo–noviembre:</w:t>
      </w:r>
      <w:r>
        <w:t xml:space="preserve"> cuatro campañas de </w:t>
      </w:r>
      <w:r>
        <w:rPr>
          <w:b/>
        </w:rPr>
        <w:t>simulacro de phishing</w:t>
      </w:r>
      <w:r>
        <w:t xml:space="preserve"> con plantillas que imitan comunicaciones internas del Banco ("cambio de política", "nómina", "notificación de correo"). En la primera campaña cayó el 14 % de los funcionarios; tras refuerzos específicos a sucursales, la última campaña bajó al 6 %.</w:t>
      </w:r>
    </w:p>
    <w:p>
      <w:pPr>
        <w:pStyle w:val="ListBullet"/>
      </w:pPr>
      <w:r>
        <w:rPr>
          <w:b/>
        </w:rPr>
        <w:t>Junio:</w:t>
      </w:r>
      <w:r>
        <w:t xml:space="preserve"> curso e-learning anual obligatorio "Seguridad de la Información y Protección de Datos" (90 minutos), con módulo específico de secreto bancario para el personal de sucursales y del sistema de pagos.</w:t>
      </w:r>
    </w:p>
    <w:p>
      <w:pPr>
        <w:pStyle w:val="ListBullet"/>
      </w:pPr>
      <w:r>
        <w:rPr>
          <w:b/>
        </w:rPr>
        <w:t>Setiembre:</w:t>
      </w:r>
      <w:r>
        <w:t xml:space="preserve"> taller presencial para Div. TI sobre gestión segura de accesos y parches, coordinado con PR-06.</w:t>
      </w:r>
    </w:p>
    <w:p>
      <w:pPr>
        <w:pStyle w:val="ListBullet"/>
      </w:pPr>
      <w:r>
        <w:rPr>
          <w:b/>
        </w:rPr>
        <w:t>Diciembre:</w:t>
      </w:r>
      <w:r>
        <w:t xml:space="preserve"> informe del RSI al Comité con indicadores: 97 % de cobertura, 6 % de caída en phishing, 88 % de aprobación. Se aprobó profundizar el módulo de datos personales para 2027 por solicitud del DPD.</w:t>
      </w:r>
    </w:p>
    <w:p>
      <w:r>
        <w:rPr>
          <w:b/>
        </w:rPr>
        <w:t>Medición de eficacia (ejemplo):</w:t>
      </w:r>
    </w:p>
    <w:p>
      <w:pPr>
        <w:pStyle w:val="ListBullet"/>
      </w:pPr>
      <w:r>
        <w:t xml:space="preserve">Los funcionarios que cayeron en dos simulacros consecutivos reciben </w:t>
      </w:r>
      <w:r>
        <w:rPr>
          <w:b/>
        </w:rPr>
        <w:t>capacitación remedial obligatoria</w:t>
      </w:r>
      <w:r>
        <w:t xml:space="preserve"> antes del próximo ciclo.</w:t>
      </w:r>
    </w:p>
    <w:p>
      <w:pPr>
        <w:pStyle w:val="ListBullet"/>
      </w:pPr>
      <w:r>
        <w:t>Los resultados por área se comparten con los jefes de departamento (sin individualizar) para focalizar refuerzos en sucursales con mayor tasa de caída.</w:t>
      </w:r>
    </w:p>
    <w:p>
      <w:r>
        <w:rPr>
          <w:b/>
        </w:rPr>
        <w:t>Documentos relacionados:</w:t>
      </w:r>
      <w:r>
        <w:t xml:space="preserve"> GV-01 (Política de Seguridad), GV-03 (Roles y Comité), PR-01 (Control de Acceso), RS-01 (Incidentes), URCDP-01 (Documento de Seguridad de Datos), PR-08 (Terceros).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