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PR-03 · Política de Seguridad de Datos: Clasificación, Cifrado y Minimización del Banco</w:t>
      </w:r>
    </w:p>
    <w:p>
      <w:pPr>
        <w:ind w:left="432"/>
      </w:pPr>
      <w:r>
        <w:rPr>
          <w:i/>
          <w:color w:val="606060"/>
        </w:rPr>
        <w:t>**Función del MCU 5.0:** Proteger (PR.DS — Seguridad de datos)</w:t>
      </w:r>
    </w:p>
    <w:p>
      <w:pPr>
        <w:ind w:left="432"/>
      </w:pPr>
      <w:r>
        <w:rPr>
          <w:i/>
          <w:color w:val="606060"/>
        </w:rPr>
        <w:t>**ISO/IEC 27001:** A.8.12 (Prevención de fuga de datos) · A.8.24 (Uso de criptografía) · A.8.11 (Enmascaramiento de datos)</w:t>
      </w:r>
    </w:p>
    <w:p>
      <w:pPr>
        <w:ind w:left="432"/>
      </w:pPr>
      <w:r>
        <w:rPr>
          <w:i/>
          <w:color w:val="606060"/>
        </w:rPr>
        <w:t>**BCU:** RNRCSF art. 492 (resguardo de claves de desencriptación) · EMG · Riesgo tecnológico</w:t>
      </w:r>
    </w:p>
    <w:p>
      <w:pPr>
        <w:ind w:left="432"/>
      </w:pPr>
      <w:r>
        <w:rPr>
          <w:i/>
          <w:color w:val="606060"/>
        </w:rPr>
        <w:t>**URCDP:** Ley 18.331 arts. 10 y 12 · Decreto 64/020 (minimización, calidad de datos)</w:t>
      </w:r>
    </w:p>
    <w:p>
      <w:pPr>
        <w:ind w:left="432"/>
      </w:pPr>
      <w:r>
        <w:rPr>
          <w:i/>
          <w:color w:val="606060"/>
        </w:rPr>
        <w:t>**Nivel del curso:** 🟡 Practicar · 🔴 Dominar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El banco vive de la información: datos de clientes, créditos hipotecarios, ahorros, garantías, información de contacto y, en muchos casos, datos de riesgo crediticio. La Ley 18.331 (URCDP) obliga al Banco a aplicar </w:t>
      </w:r>
      <w:r>
        <w:rPr>
          <w:b/>
        </w:rPr>
        <w:t>medidas técnicas y organizativas</w:t>
      </w:r>
      <w:r>
        <w:t xml:space="preserve"> que garanticen la confidencialidad, integridad y disponibilidad de esos datos, y el BCU exige protegerlos como parte del riesgo operativo. Sin un orden claro de clasificación, no se sabe cuánta protección darle a cada dato ni cómo demostrarla ante los supervisores.</w:t>
      </w:r>
    </w:p>
    <w:p>
      <w:r>
        <w:t xml:space="preserve">Esta política establece </w:t>
      </w:r>
      <w:r>
        <w:rPr>
          <w:b/>
        </w:rPr>
        <w:t>cómo se clasifican los datos</w:t>
      </w:r>
      <w:r>
        <w:t xml:space="preserve"> del Banco (público, uso interno, confidencial, secreto), </w:t>
      </w:r>
      <w:r>
        <w:rPr>
          <w:b/>
        </w:rPr>
        <w:t>cómo se tratan según su clase</w:t>
      </w:r>
      <w:r>
        <w:t xml:space="preserve">, </w:t>
      </w:r>
      <w:r>
        <w:rPr>
          <w:b/>
        </w:rPr>
        <w:t>cuándo y cómo se cifran</w:t>
      </w:r>
      <w:r>
        <w:t xml:space="preserve"> (en reposo y en tránsito), cómo se resguardan las </w:t>
      </w:r>
      <w:r>
        <w:rPr>
          <w:b/>
        </w:rPr>
        <w:t>claves de desencriptación</w:t>
      </w:r>
      <w:r>
        <w:t xml:space="preserve"> (exigencia del art. 492 de la RNRCSF), cómo se aplican </w:t>
      </w:r>
      <w:r>
        <w:rPr>
          <w:b/>
        </w:rPr>
        <w:t>minimización y anonimización</w:t>
      </w:r>
      <w:r>
        <w:t xml:space="preserve"> y cómo se previene la </w:t>
      </w:r>
      <w:r>
        <w:rPr>
          <w:b/>
        </w:rPr>
        <w:t>fuga de datos</w:t>
      </w:r>
      <w:r>
        <w:t xml:space="preserve"> (DLP). También fija la </w:t>
      </w:r>
      <w:r>
        <w:rPr>
          <w:b/>
        </w:rPr>
        <w:t>retención y el borrado seguro</w:t>
      </w:r>
      <w:r>
        <w:t xml:space="preserve"> para que los datos no vivan más tiempo del necesario.</w:t>
      </w:r>
    </w:p>
    <w:p>
      <w:r>
        <w:t xml:space="preserve">En el Banco, el dato más sensible está en el </w:t>
      </w:r>
      <w:r>
        <w:rPr>
          <w:b/>
        </w:rPr>
        <w:t>core bancario</w:t>
      </w:r>
      <w:r>
        <w:t>: historial de deudores, saldos, garantías hipotecarias y datos personales de clientes. El secreto bancario (Ley 16.713) se suma a la confidencialidad técnica. Esta política es la herramienta para que cualquier dato, en cualquier sistema, base de datos o papel, tenga el nivel de protección que le corresponde.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Requisito aplicable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4824"/>
          </w:tcPr>
          <w:p>
            <w:r/>
            <w:r>
              <w:t>PR.DS — clasificación y tratamiento de datos según sensibilidad; cifrado; minimización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ISO/IEC 27001:2022</w:t>
            </w:r>
          </w:p>
        </w:tc>
        <w:tc>
          <w:tcPr>
            <w:tcW w:type="dxa" w:w="4824"/>
          </w:tcPr>
          <w:p>
            <w:r/>
            <w:r>
              <w:t>A.8.2 clasificación de la información; A.8.3 manejo de activos; A.8.12 prevención de fuga de datos; A.8.24 uso de criptografía; A.8.11 enmascaramiento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4824"/>
          </w:tcPr>
          <w:p>
            <w:r/>
            <w:r>
              <w:t>RNRCSF art. 492 (resguardo de claves de desencriptación); EMG · Riesgo tecnológico; Circular 2280 (sistema de pagos)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4824"/>
          </w:tcPr>
          <w:p>
            <w:r/>
            <w:r>
              <w:t>Ley 18.331 arts. 10 y 12; Ley 19.670; Decreto 64/020 (minimización, finalidad, seguridad)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Completá el encabezado</w:t>
      </w:r>
      <w:r>
        <w:t xml:space="preserve"> (código, versión, fecha). La aprueba el Comité de Seguridad de la Información.</w:t>
      </w:r>
    </w:p>
    <w:p>
      <w:pPr>
        <w:pStyle w:val="ListNumber"/>
      </w:pPr>
      <w:r>
        <w:rPr>
          <w:b/>
        </w:rPr>
        <w:t>Consolidá la clasificación</w:t>
      </w:r>
      <w:r>
        <w:t xml:space="preserve"> con el inventario de activos (ID-01) y con el DPD para los datos personales.</w:t>
      </w:r>
    </w:p>
    <w:p>
      <w:pPr>
        <w:pStyle w:val="ListNumber"/>
      </w:pPr>
      <w:r>
        <w:rPr>
          <w:b/>
        </w:rPr>
        <w:t>Definí con la Div. TI</w:t>
      </w:r>
      <w:r>
        <w:t xml:space="preserve"> los estándares técnicos: cifrado de discos y bases de datos (en reposo), TLS en las comunicaciones (en tránsito) y la solución de </w:t>
      </w:r>
      <w:r>
        <w:rPr>
          <w:b/>
        </w:rPr>
        <w:t>gestión de claves (KMS)</w:t>
      </w:r>
      <w:r>
        <w:t>.</w:t>
      </w:r>
    </w:p>
    <w:p>
      <w:pPr>
        <w:pStyle w:val="ListNumber"/>
      </w:pPr>
      <w:r>
        <w:rPr>
          <w:b/>
        </w:rPr>
        <w:t>Personalizá los apartados [COMPLETAR]</w:t>
      </w:r>
      <w:r>
        <w:t xml:space="preserve"> con la herramienta DLP, los plazos de retención reales y los algoritmos aceptados.</w:t>
      </w:r>
    </w:p>
    <w:p>
      <w:pPr>
        <w:pStyle w:val="ListNumber"/>
      </w:pPr>
      <w:r>
        <w:rPr>
          <w:b/>
        </w:rPr>
        <w:t>Coordiná la tabla de retención y borrado</w:t>
      </w:r>
      <w:r>
        <w:t xml:space="preserve"> con el Departamento de Contabilidad y Tributos, Servicios Jurídicos y el Área de Riesgos (obligaciones legales de conservación).</w:t>
      </w:r>
    </w:p>
    <w:p>
      <w:pPr>
        <w:pStyle w:val="ListNumber"/>
      </w:pPr>
      <w:r>
        <w:rPr>
          <w:b/>
        </w:rPr>
        <w:t>Aprobá, registrá en el control de cambios</w:t>
      </w:r>
      <w:r>
        <w:t xml:space="preserve"> y publicá en </w:t>
      </w:r>
      <w:r>
        <w:rPr>
          <w:rFonts w:ascii="Consolas" w:hAnsi="Consolas"/>
          <w:sz w:val="20"/>
        </w:rPr>
        <w:t>02-ENTREGABLES/C-PROTEGER</w:t>
      </w:r>
      <w:r>
        <w:t>. Revisá anualmente.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PR-03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Política de Seguridad de Datos: Clasificación, Cifrado y Minimización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DPD · Gerente Div. TI · Comité de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Garantizar que la información del Banco se </w:t>
      </w:r>
      <w:r>
        <w:rPr>
          <w:b/>
        </w:rPr>
        <w:t>clasifique, proteja, cifre, minimice y elimine</w:t>
      </w:r>
      <w:r>
        <w:t xml:space="preserve"> de acuerdo con su sensibilidad, en cumplimiento de la normativa aplicable (BCU, URCDP y Agesic).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[COMPLETAR: toda la información del Banco, en cualquier formato —digital, papel, oral— y en cualquier soporte: bases de datos, archivos, correo, respaldos, documentos en papel, dispositivos móviles y medios extraíbles]. Aplica también a los datos tratados por terceros en nombre del banco.</w:t>
      </w:r>
    </w:p>
    <w:p>
      <w:pPr>
        <w:pStyle w:val="Heading3"/>
      </w:pPr>
      <w:r>
        <w:rPr>
          <w:color w:val="1F3B63"/>
        </w:rPr>
        <w:t>3. Clasificación de la información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Clase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Ejemplos en el Banco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Tratamiento mínimo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Público</w:t>
            </w:r>
          </w:p>
        </w:tc>
        <w:tc>
          <w:tcPr>
            <w:tcW w:type="dxa" w:w="3216"/>
          </w:tcPr>
          <w:p>
            <w:r/>
            <w:r>
              <w:t>Información de prensa, sitio web institucional</w:t>
            </w:r>
          </w:p>
        </w:tc>
        <w:tc>
          <w:tcPr>
            <w:tcW w:type="dxa" w:w="3216"/>
          </w:tcPr>
          <w:p>
            <w:r/>
            <w:r>
              <w:t>Sin restricciones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Uso interno</w:t>
            </w:r>
          </w:p>
        </w:tc>
        <w:tc>
          <w:tcPr>
            <w:tcW w:type="dxa" w:w="3216"/>
          </w:tcPr>
          <w:p>
            <w:r/>
            <w:r>
              <w:t>Procedimientos internos, organigrama, minutas</w:t>
            </w:r>
          </w:p>
        </w:tc>
        <w:tc>
          <w:tcPr>
            <w:tcW w:type="dxa" w:w="3216"/>
          </w:tcPr>
          <w:p>
            <w:r/>
            <w:r>
              <w:t>Acceso solo para funcionarios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Confidencial</w:t>
            </w:r>
          </w:p>
        </w:tc>
        <w:tc>
          <w:tcPr>
            <w:tcW w:type="dxa" w:w="3216"/>
          </w:tcPr>
          <w:p>
            <w:r/>
            <w:r>
              <w:t>Datos de clientes, expedientes de crédito, información comercial</w:t>
            </w:r>
          </w:p>
        </w:tc>
        <w:tc>
          <w:tcPr>
            <w:tcW w:type="dxa" w:w="3216"/>
          </w:tcPr>
          <w:p>
            <w:r/>
            <w:r>
              <w:t>Acceso por función; cifrado; minimización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Secreto</w:t>
            </w:r>
          </w:p>
        </w:tc>
        <w:tc>
          <w:tcPr>
            <w:tcW w:type="dxa" w:w="3216"/>
          </w:tcPr>
          <w:p>
            <w:r/>
            <w:r>
              <w:t>Secreto bancario, credenciales criptográficas, claves de desencriptación, información de seguridad</w:t>
            </w:r>
          </w:p>
        </w:tc>
        <w:tc>
          <w:tcPr>
            <w:tcW w:type="dxa" w:w="3216"/>
          </w:tcPr>
          <w:p>
            <w:r/>
            <w:r>
              <w:t>Acceso restringido y trazado; cifrado fuerte</w:t>
            </w:r>
          </w:p>
        </w:tc>
      </w:tr>
    </w:tbl>
    <w:p>
      <w:pPr>
        <w:pStyle w:val="Heading3"/>
      </w:pPr>
      <w:r>
        <w:rPr>
          <w:color w:val="1F3B63"/>
        </w:rPr>
        <w:t>3.1. Etiquetado y tratamiento</w:t>
      </w:r>
    </w:p>
    <w:p>
      <w:r>
        <w:t xml:space="preserve">Toda información debe </w:t>
      </w:r>
      <w:r>
        <w:rPr>
          <w:b/>
        </w:rPr>
        <w:t>etiquetarse</w:t>
      </w:r>
      <w:r>
        <w:t xml:space="preserve"> con su clase [COMPLETAR: metadatos, carátulas, asunto de correo]. El tratamiento de cada clase (copia, transmisión, impresión, destrucción) se ajusta a la tabla de la sección 3.</w:t>
      </w:r>
    </w:p>
    <w:p>
      <w:pPr>
        <w:pStyle w:val="Heading3"/>
      </w:pPr>
      <w:r>
        <w:rPr>
          <w:color w:val="1F3B63"/>
        </w:rPr>
        <w:t>4. Cifrado</w:t>
      </w:r>
    </w:p>
    <w:p>
      <w:pPr>
        <w:pStyle w:val="Heading3"/>
      </w:pPr>
      <w:r>
        <w:rPr>
          <w:color w:val="1F3B63"/>
        </w:rPr>
        <w:t>4.1. Cifrado en reposo</w:t>
      </w:r>
    </w:p>
    <w:p>
      <w:pPr>
        <w:pStyle w:val="ListBullet"/>
      </w:pPr>
      <w:r>
        <w:t xml:space="preserve">Bases de datos del core bancario, Banco En Línea y sistema de pagos: </w:t>
      </w:r>
      <w:r>
        <w:rPr>
          <w:b/>
        </w:rPr>
        <w:t>cifradas en reposo</w:t>
      </w:r>
      <w:r>
        <w:t xml:space="preserve"> con algoritmos aprobados [COMPLETAR: AES-256].</w:t>
      </w:r>
    </w:p>
    <w:p>
      <w:pPr>
        <w:pStyle w:val="ListBullet"/>
      </w:pPr>
      <w:r>
        <w:t>Discos y respaldos de servidores y equipos portátiles: cifrado completo (disco entero).</w:t>
      </w:r>
    </w:p>
    <w:p>
      <w:pPr>
        <w:pStyle w:val="ListBullet"/>
      </w:pPr>
      <w:r>
        <w:t>Medios extraíbles y móviles: cifrado obligatorio.</w:t>
      </w:r>
    </w:p>
    <w:p>
      <w:pPr>
        <w:pStyle w:val="Heading3"/>
      </w:pPr>
      <w:r>
        <w:rPr>
          <w:color w:val="1F3B63"/>
        </w:rPr>
        <w:t>4.2. Cifrado en tránsito</w:t>
      </w:r>
    </w:p>
    <w:p>
      <w:pPr>
        <w:pStyle w:val="ListBullet"/>
      </w:pPr>
      <w:r>
        <w:t xml:space="preserve">Todas las comunicaciones externas: </w:t>
      </w:r>
      <w:r>
        <w:rPr>
          <w:b/>
        </w:rPr>
        <w:t>TLS 1.2 mínimo</w:t>
      </w:r>
      <w:r>
        <w:t xml:space="preserve"> [COMPLETAR: preferentemente 1.3].</w:t>
      </w:r>
    </w:p>
    <w:p>
      <w:pPr>
        <w:pStyle w:val="ListBullet"/>
      </w:pPr>
      <w:r>
        <w:t>Conexiones internas sensibles (core → sistema de pagos): cifradas o por redes segmentadas.</w:t>
      </w:r>
    </w:p>
    <w:p>
      <w:pPr>
        <w:pStyle w:val="ListBullet"/>
      </w:pPr>
      <w:r>
        <w:t>Acceso remoto: VPN con cifrado aprobado.</w:t>
      </w:r>
    </w:p>
    <w:p>
      <w:pPr>
        <w:pStyle w:val="Heading3"/>
      </w:pPr>
      <w:r>
        <w:rPr>
          <w:color w:val="1F3B63"/>
        </w:rPr>
        <w:t>4.3. Gestión de claves criptográficas</w:t>
      </w:r>
    </w:p>
    <w:p>
      <w:pPr>
        <w:pStyle w:val="ListBullet"/>
      </w:pPr>
      <w:r>
        <w:t xml:space="preserve">Se usa una </w:t>
      </w:r>
      <w:r>
        <w:rPr>
          <w:b/>
        </w:rPr>
        <w:t>plataforma de gestión de claves (KMS)</w:t>
      </w:r>
      <w:r>
        <w:t xml:space="preserve"> con custodia centralizada [COMPLETAR].</w:t>
      </w:r>
    </w:p>
    <w:p>
      <w:pPr>
        <w:pStyle w:val="ListBullet"/>
      </w:pPr>
      <w:r>
        <w:t xml:space="preserve">Las </w:t>
      </w:r>
      <w:r>
        <w:rPr>
          <w:b/>
        </w:rPr>
        <w:t>claves de desencriptación se resguardan</w:t>
      </w:r>
      <w:r>
        <w:t xml:space="preserve"> en un lugar </w:t>
      </w:r>
      <w:r>
        <w:rPr>
          <w:b/>
        </w:rPr>
        <w:t>separado</w:t>
      </w:r>
      <w:r>
        <w:t xml:space="preserve"> de los datos cifrados y bajo doble custodia (cumplimiento del art. 492 RNRCSF).</w:t>
      </w:r>
    </w:p>
    <w:p>
      <w:pPr>
        <w:pStyle w:val="ListBullet"/>
      </w:pPr>
      <w:r>
        <w:t>Rotación de claves: al menos cada [COMPLETAR: 12 meses] o ante compromiso.</w:t>
      </w:r>
    </w:p>
    <w:p>
      <w:pPr>
        <w:pStyle w:val="ListBullet"/>
      </w:pPr>
      <w:r>
        <w:t xml:space="preserve">La pérdida de una clave de desencriptación se trata como </w:t>
      </w:r>
      <w:r>
        <w:rPr>
          <w:b/>
        </w:rPr>
        <w:t>incidente crítico</w:t>
      </w:r>
      <w:r>
        <w:t xml:space="preserve"> (RS-01).</w:t>
      </w:r>
    </w:p>
    <w:p>
      <w:pPr>
        <w:pStyle w:val="Heading3"/>
      </w:pPr>
      <w:r>
        <w:rPr>
          <w:color w:val="1F3B63"/>
        </w:rPr>
        <w:t>5. Minimización y anonimización</w:t>
      </w:r>
    </w:p>
    <w:p>
      <w:pPr>
        <w:pStyle w:val="ListBullet"/>
      </w:pPr>
      <w:r>
        <w:t xml:space="preserve">Se recolecta solo lo </w:t>
      </w:r>
      <w:r>
        <w:rPr>
          <w:b/>
        </w:rPr>
        <w:t>necesario y pertinente</w:t>
      </w:r>
      <w:r>
        <w:t xml:space="preserve"> para la finalidad (art. 10 URCDP).</w:t>
      </w:r>
    </w:p>
    <w:p>
      <w:pPr>
        <w:pStyle w:val="ListBullet"/>
      </w:pPr>
      <w:r>
        <w:t xml:space="preserve">Para pruebas y desarrollos se usan </w:t>
      </w:r>
      <w:r>
        <w:rPr>
          <w:b/>
        </w:rPr>
        <w:t>datos enmascarados o anonimizados</w:t>
      </w:r>
      <w:r>
        <w:t>, nunca datos reales de clientes (se coordina con PR-07).</w:t>
      </w:r>
    </w:p>
    <w:p>
      <w:pPr>
        <w:pStyle w:val="ListBullet"/>
      </w:pPr>
      <w:r>
        <w:t xml:space="preserve">Los datos que dejen de ser necesarios se </w:t>
      </w:r>
      <w:r>
        <w:rPr>
          <w:b/>
        </w:rPr>
        <w:t>anonimizan o eliminan</w:t>
      </w:r>
      <w:r>
        <w:t xml:space="preserve"> según la tabla de retención.</w:t>
      </w:r>
    </w:p>
    <w:p>
      <w:pPr>
        <w:pStyle w:val="Heading3"/>
      </w:pPr>
      <w:r>
        <w:rPr>
          <w:color w:val="1F3B63"/>
        </w:rPr>
        <w:t>6. Prevención de fuga de datos (DLP)</w:t>
      </w:r>
    </w:p>
    <w:p>
      <w:pPr>
        <w:pStyle w:val="ListBullet"/>
      </w:pPr>
      <w:r>
        <w:t>Se implementa control DLP en correo, web y medios extraíbles [COMPLETAR: herramienta / mecanismo].</w:t>
      </w:r>
    </w:p>
    <w:p>
      <w:pPr>
        <w:pStyle w:val="ListBullet"/>
      </w:pPr>
      <w:r>
        <w:t>Reglas que detectan envío de clases "Confidencial" y "Secreto" a destinos externos no autorizados.</w:t>
      </w:r>
    </w:p>
    <w:p>
      <w:pPr>
        <w:pStyle w:val="ListBullet"/>
      </w:pPr>
      <w:r>
        <w:t xml:space="preserve">Almacenamiento de datos en la nube personal o servicios no autorizados: </w:t>
      </w:r>
      <w:r>
        <w:rPr>
          <w:b/>
        </w:rPr>
        <w:t>prohibido</w:t>
      </w:r>
      <w:r>
        <w:t>.</w:t>
      </w:r>
    </w:p>
    <w:p>
      <w:pPr>
        <w:pStyle w:val="Heading3"/>
      </w:pPr>
      <w:r>
        <w:rPr>
          <w:color w:val="1F3B63"/>
        </w:rPr>
        <w:t>7. Retención y borrado seguro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Tipo de dato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Plazo de retención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Borrado</w:t>
            </w:r>
          </w:p>
        </w:tc>
      </w:tr>
      <w:tr>
        <w:tc>
          <w:tcPr>
            <w:tcW w:type="dxa" w:w="3216"/>
          </w:tcPr>
          <w:p>
            <w:r/>
            <w:r>
              <w:t>Expedientes de crédito</w:t>
            </w:r>
          </w:p>
        </w:tc>
        <w:tc>
          <w:tcPr>
            <w:tcW w:type="dxa" w:w="3216"/>
          </w:tcPr>
          <w:p>
            <w:r/>
            <w:r>
              <w:t>[COMPLETAR: según normativa]</w:t>
            </w:r>
          </w:p>
        </w:tc>
        <w:tc>
          <w:tcPr>
            <w:tcW w:type="dxa" w:w="3216"/>
          </w:tcPr>
          <w:p>
            <w:r/>
            <w:r>
              <w:t>Borrado seguro / destrucción física</w:t>
            </w:r>
          </w:p>
        </w:tc>
      </w:tr>
      <w:tr>
        <w:tc>
          <w:tcPr>
            <w:tcW w:type="dxa" w:w="3216"/>
          </w:tcPr>
          <w:p>
            <w:r/>
            <w:r>
              <w:t>Datos personales de clientes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  <w:tc>
          <w:tcPr>
            <w:tcW w:type="dxa" w:w="3216"/>
          </w:tcPr>
          <w:p>
            <w:r/>
            <w:r>
              <w:t>Borrado seguro al vencer el plazo o cesar la finalidad</w:t>
            </w:r>
          </w:p>
        </w:tc>
      </w:tr>
      <w:tr>
        <w:tc>
          <w:tcPr>
            <w:tcW w:type="dxa" w:w="3216"/>
          </w:tcPr>
          <w:p>
            <w:r/>
            <w:r>
              <w:t>Respaldo de seguridad</w:t>
            </w:r>
          </w:p>
        </w:tc>
        <w:tc>
          <w:tcPr>
            <w:tcW w:type="dxa" w:w="3216"/>
          </w:tcPr>
          <w:p>
            <w:r/>
            <w:r>
              <w:t>Según PR-05</w:t>
            </w:r>
          </w:p>
        </w:tc>
        <w:tc>
          <w:tcPr>
            <w:tcW w:type="dxa" w:w="3216"/>
          </w:tcPr>
          <w:p>
            <w:r/>
            <w:r>
              <w:t>Sobrescritura segura / criptoborrado</w:t>
            </w:r>
          </w:p>
        </w:tc>
      </w:tr>
    </w:tbl>
    <w:p>
      <w:pPr>
        <w:pStyle w:val="ListBullet"/>
      </w:pPr>
      <w:r>
        <w:t xml:space="preserve">Borrado lógico: sobrescritura múltiple o criptoborrado de discos; </w:t>
      </w:r>
      <w:r>
        <w:rPr>
          <w:b/>
        </w:rPr>
        <w:t>destrucción física</w:t>
      </w:r>
      <w:r>
        <w:t xml:space="preserve"> certificada para discos y papel "Secreto".</w:t>
      </w:r>
    </w:p>
    <w:p>
      <w:pPr>
        <w:pStyle w:val="Heading3"/>
      </w:pPr>
      <w:r>
        <w:rPr>
          <w:color w:val="1F3B63"/>
        </w:rPr>
        <w:t>8. Responsabilidades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Dueño de los datos (área usuaria)</w:t>
            </w:r>
          </w:p>
        </w:tc>
        <w:tc>
          <w:tcPr>
            <w:tcW w:type="dxa" w:w="4824"/>
          </w:tcPr>
          <w:p>
            <w:r/>
            <w:r>
              <w:t>Clasificar y etiquetar; autorizar accesos y transmisiones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Div. TI</w:t>
            </w:r>
          </w:p>
        </w:tc>
        <w:tc>
          <w:tcPr>
            <w:tcW w:type="dxa" w:w="4824"/>
          </w:tcPr>
          <w:p>
            <w:r/>
            <w:r>
              <w:t>Implementar cifrado, KMS, DLP y borrado técnico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DPD</w:t>
            </w:r>
          </w:p>
        </w:tc>
        <w:tc>
          <w:tcPr>
            <w:tcW w:type="dxa" w:w="4824"/>
          </w:tcPr>
          <w:p>
            <w:r/>
            <w:r>
              <w:t>Cumplimiento URCDP: minimización, anonimización, EIPD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RSI</w:t>
            </w:r>
          </w:p>
        </w:tc>
        <w:tc>
          <w:tcPr>
            <w:tcW w:type="dxa" w:w="4824"/>
          </w:tcPr>
          <w:p>
            <w:r/>
            <w:r>
              <w:t>Supervisar el cumplimiento y las excepciones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Auditoría Interna</w:t>
            </w:r>
          </w:p>
        </w:tc>
        <w:tc>
          <w:tcPr>
            <w:tcW w:type="dxa" w:w="4824"/>
          </w:tcPr>
          <w:p>
            <w:r/>
            <w:r>
              <w:t>Evaluar la efectividad del control</w:t>
            </w:r>
          </w:p>
        </w:tc>
      </w:tr>
    </w:tbl>
    <w:p>
      <w:pPr>
        <w:pStyle w:val="Heading3"/>
      </w:pPr>
      <w:r>
        <w:rPr>
          <w:color w:val="1F3B63"/>
        </w:rPr>
        <w:t>9.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Comité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Comité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 de cómo quedaría el apartado 4 completado. Adaptá al contenido institucional real del Banco.</w:t>
      </w:r>
    </w:p>
    <w:p>
      <w:r>
        <w:rPr>
          <w:b/>
        </w:rPr>
        <w:t>Clasificación (ejemplo):</w:t>
      </w:r>
    </w:p>
    <w:p>
      <w:pPr>
        <w:pStyle w:val="ListBullet"/>
      </w:pPr>
      <w:r>
        <w:t xml:space="preserve">El </w:t>
      </w:r>
      <w:r>
        <w:rPr>
          <w:b/>
        </w:rPr>
        <w:t>historial de deudores del Banco</w:t>
      </w:r>
      <w:r>
        <w:t xml:space="preserve"> y la información de garantías hipotecarias se clasifican como </w:t>
      </w:r>
      <w:r>
        <w:rPr>
          <w:b/>
        </w:rPr>
        <w:t>Secreto</w:t>
      </w:r>
      <w:r>
        <w:t xml:space="preserve"> (secreto bancario): acceso restringido al personal de crédito y cobranzas, con trazabilidad por usuario.</w:t>
      </w:r>
    </w:p>
    <w:p>
      <w:pPr>
        <w:pStyle w:val="ListBullet"/>
      </w:pPr>
      <w:r>
        <w:t xml:space="preserve">Los </w:t>
      </w:r>
      <w:r>
        <w:rPr>
          <w:b/>
        </w:rPr>
        <w:t>expedientes de crédito en trámite</w:t>
      </w:r>
      <w:r>
        <w:t xml:space="preserve"> y los datos de contacto de clientes son </w:t>
      </w:r>
      <w:r>
        <w:rPr>
          <w:b/>
        </w:rPr>
        <w:t>Confidenciales</w:t>
      </w:r>
      <w:r>
        <w:t>.</w:t>
      </w:r>
    </w:p>
    <w:p>
      <w:pPr>
        <w:pStyle w:val="ListBullet"/>
      </w:pPr>
      <w:r>
        <w:t xml:space="preserve">Los </w:t>
      </w:r>
      <w:r>
        <w:rPr>
          <w:b/>
        </w:rPr>
        <w:t>procedimientos operativos de sucursal</w:t>
      </w:r>
      <w:r>
        <w:t xml:space="preserve"> (no financieros) son de </w:t>
      </w:r>
      <w:r>
        <w:rPr>
          <w:b/>
        </w:rPr>
        <w:t>Uso interno</w:t>
      </w:r>
      <w:r>
        <w:t>.</w:t>
      </w:r>
    </w:p>
    <w:p>
      <w:r>
        <w:rPr>
          <w:b/>
        </w:rPr>
        <w:t>Cifrado (ejemplo):</w:t>
      </w:r>
    </w:p>
    <w:p>
      <w:pPr>
        <w:pStyle w:val="ListBullet"/>
      </w:pPr>
      <w:r>
        <w:t xml:space="preserve">La base de datos del </w:t>
      </w:r>
      <w:r>
        <w:rPr>
          <w:b/>
        </w:rPr>
        <w:t>core bancario</w:t>
      </w:r>
      <w:r>
        <w:t xml:space="preserve"> está cifrada en reposo con AES-256; las conexiones del </w:t>
      </w:r>
      <w:r>
        <w:rPr>
          <w:b/>
        </w:rPr>
        <w:t>Banco En Línea</w:t>
      </w:r>
      <w:r>
        <w:t xml:space="preserve"> y del </w:t>
      </w:r>
      <w:r>
        <w:rPr>
          <w:b/>
        </w:rPr>
        <w:t>sistema de pagos</w:t>
      </w:r>
      <w:r>
        <w:t xml:space="preserve"> usan TLS 1.3.</w:t>
      </w:r>
    </w:p>
    <w:p>
      <w:pPr>
        <w:pStyle w:val="ListBullet"/>
      </w:pPr>
      <w:r>
        <w:t xml:space="preserve">Las </w:t>
      </w:r>
      <w:r>
        <w:rPr>
          <w:b/>
        </w:rPr>
        <w:t>claves de desencriptación</w:t>
      </w:r>
      <w:r>
        <w:t xml:space="preserve"> de los respaldos se guardan en la caja fuerte de custodia de la Div. TI, bajo </w:t>
      </w:r>
      <w:r>
        <w:rPr>
          <w:b/>
        </w:rPr>
        <w:t>doble custodia</w:t>
      </w:r>
      <w:r>
        <w:t xml:space="preserve"> (dos funcionarios de categoría superior), en un edificio </w:t>
      </w:r>
      <w:r>
        <w:rPr>
          <w:b/>
        </w:rPr>
        <w:t>distinto</w:t>
      </w:r>
      <w:r>
        <w:t xml:space="preserve"> al que aloja los respaldos, cumpliendo el art. 492 de la RNRCSF.</w:t>
      </w:r>
    </w:p>
    <w:p>
      <w:pPr>
        <w:pStyle w:val="ListBullet"/>
      </w:pPr>
      <w:r>
        <w:t>En 2026, durante la prueba anual de restauración (PR-05), se comprobó la recuperación de las claves desde la custodia y la correcta desencriptación de los respaldos.</w:t>
      </w:r>
    </w:p>
    <w:p>
      <w:r>
        <w:rPr>
          <w:b/>
        </w:rPr>
        <w:t>Minimización y DLP (ejemplo):</w:t>
      </w:r>
    </w:p>
    <w:p>
      <w:pPr>
        <w:pStyle w:val="ListBullet"/>
      </w:pPr>
      <w:r>
        <w:t xml:space="preserve">Los desarrollos de prueba del sistema de pagos usan </w:t>
      </w:r>
      <w:r>
        <w:rPr>
          <w:b/>
        </w:rPr>
        <w:t>datos enmascarados</w:t>
      </w:r>
      <w:r>
        <w:t>, nunca datos reales de clientes.</w:t>
      </w:r>
    </w:p>
    <w:p>
      <w:pPr>
        <w:pStyle w:val="ListBullet"/>
      </w:pPr>
      <w:r>
        <w:t>El DLP del correo bloquea el envío de planillas con datos personales a cuentas personales; en 2026 bloqueó 47 intentos y se derivaron los casos recurrentes a concientización (PR-02).</w:t>
      </w:r>
    </w:p>
    <w:p>
      <w:r>
        <w:rPr>
          <w:b/>
        </w:rPr>
        <w:t>Documentos relacionados:</w:t>
      </w:r>
      <w:r>
        <w:t xml:space="preserve"> GV-01 (Política de Seguridad), ID-01 (Inventario de Activos), PR-01 (Control de Acceso), PR-05 (Respaldo y Recuperación), PR-07 (Desarrollo Seguro), DE-01 (Monitoreo), URCDP-01 (Seguridad de Datos Personales).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