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PR-05 · Política de Respaldo y Recuperación de la Información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Proteger (PR.IR — Resiliencia de la infraestructura tecnológica)</w:t>
      </w:r>
    </w:p>
    <w:p>
      <w:pPr>
        <w:ind w:left="432"/>
      </w:pPr>
      <w:r>
        <w:rPr>
          <w:i/>
          <w:color w:val="606060"/>
        </w:rPr>
        <w:t>**ISO/IEC 27001:** A.8.13 (Respaldo de la información) · A.8.10 (Borrado de información)</w:t>
      </w:r>
    </w:p>
    <w:p>
      <w:pPr>
        <w:ind w:left="432"/>
      </w:pPr>
      <w:r>
        <w:rPr>
          <w:i/>
          <w:color w:val="606060"/>
        </w:rPr>
        <w:t>**BCU:** **RNRCSF art. 492 (crítico)** — resguardo de datos, software y documentación; claves de desencriptación; pruebas anuales de la totalidad de la información</w:t>
      </w:r>
    </w:p>
    <w:p>
      <w:pPr>
        <w:ind w:left="432"/>
      </w:pPr>
      <w:r>
        <w:rPr>
          <w:i/>
          <w:color w:val="606060"/>
        </w:rPr>
        <w:t>**URCDP:** Ley 18.331 art. 10 (medidas de seguridad)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art. 492 de la Recopilación de Normas de Regulación y Control del Sistema Financiero (RNRCSF)</w:t>
      </w:r>
      <w:r>
        <w:t xml:space="preserve"> del BCU es, para el Banco, la norma de respaldo por excelencia: exige resguardar los </w:t>
      </w:r>
      <w:r>
        <w:rPr>
          <w:b/>
        </w:rPr>
        <w:t>datos, software y documentación</w:t>
      </w:r>
      <w:r>
        <w:t xml:space="preserve"> necesarios para reconstruir las operaciones, mantener </w:t>
      </w:r>
      <w:r>
        <w:rPr>
          <w:b/>
        </w:rPr>
        <w:t>copias que no se afecten por un mismo evento</w:t>
      </w:r>
      <w:r>
        <w:t xml:space="preserve"> de riesgo, resguardar las </w:t>
      </w:r>
      <w:r>
        <w:rPr>
          <w:b/>
        </w:rPr>
        <w:t>claves de desencriptación</w:t>
      </w:r>
      <w:r>
        <w:t xml:space="preserve">, realizar </w:t>
      </w:r>
      <w:r>
        <w:rPr>
          <w:b/>
        </w:rPr>
        <w:t>pruebas anuales de recuperación e integridad de la totalidad de la información</w:t>
      </w:r>
      <w:r>
        <w:t xml:space="preserve"> y contar con un </w:t>
      </w:r>
      <w:r>
        <w:rPr>
          <w:b/>
        </w:rPr>
        <w:t>responsable de la ejecución del resguardo</w:t>
      </w:r>
      <w:r>
        <w:t xml:space="preserve"> de categoría superior.</w:t>
      </w:r>
    </w:p>
    <w:p>
      <w:r>
        <w:t xml:space="preserve">Esta política traduce esa exigencia en un esquema operativo concreto: qué se respalda, con qué frecuencia, dónde se guardan las copias, cómo se protegen (cifrado), cómo se registran y —lo que el BCU mira con más atención— cómo y cuándo se </w:t>
      </w:r>
      <w:r>
        <w:rPr>
          <w:b/>
        </w:rPr>
        <w:t>prueba la restauración</w:t>
      </w:r>
      <w:r>
        <w:t>. Un respaldo que nunca se probó no es un respaldo: es una promesa.</w:t>
      </w:r>
    </w:p>
    <w:p>
      <w:r>
        <w:t>En el Banco, la pérdida de datos implicaría no solo incumplimiento normativo y sanciones del BCU, sino la imposibilidad de reconstruir carteras de crédito, saldos de ahorro y operaciones del sistema de pagos: un daño reputacional y financiero irreparable. Esta política es el puente entre la continuidad (RC-01/RC-02) y la operación diaria de la División de TI.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PR.IR — resiliencia de la infraestructura tecnológica (respaldo, recuperación y mantenimiento de la capacidad de restauración)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A.8.13 respaldo de la información (copias, restauración, pruebas)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RNRCSF art. 492</w:t>
            </w:r>
            <w:r>
              <w:t xml:space="preserve"> (crítico): reconstrucción, copias no afectadas por el mismo evento, claves de desencriptación, pruebas anuales, responsable superior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art. 10 (medidas técnicas de seguridad)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Definí con la Div. TI</w:t>
      </w:r>
      <w:r>
        <w:t xml:space="preserve"> (Jefe de Departamento Producción, Ing. Daniel Herrera) el inventario de sistemas a respaldar y los RPO/RTO por sistema.</w:t>
      </w:r>
    </w:p>
    <w:p>
      <w:pPr>
        <w:pStyle w:val="ListNumber"/>
      </w:pPr>
      <w:r>
        <w:rPr>
          <w:b/>
        </w:rPr>
        <w:t>Identificá los sitios de resguardo</w:t>
      </w:r>
      <w:r>
        <w:t xml:space="preserve"> (ubicaciones que no se afecten por un mismo evento: otro edificio, otra ciudad).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frecuencias, retenciones y responsables reales.</w:t>
      </w:r>
    </w:p>
    <w:p>
      <w:pPr>
        <w:pStyle w:val="ListNumber"/>
      </w:pPr>
      <w:r>
        <w:rPr>
          <w:b/>
        </w:rPr>
        <w:t>Planificá las pruebas anuales de restauración de la totalidad de la información</w:t>
      </w:r>
      <w:r>
        <w:t xml:space="preserve"> y su registro como evidencia ante el BCU.</w:t>
      </w:r>
    </w:p>
    <w:p>
      <w:pPr>
        <w:pStyle w:val="ListNumber"/>
      </w:pPr>
      <w:r>
        <w:rPr>
          <w:b/>
        </w:rPr>
        <w:t>Coordiná el resguardo de las claves de desencriptación</w:t>
      </w:r>
      <w:r>
        <w:t xml:space="preserve"> con PR-03 (KMS y custodia separada).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 y tras cambios mayores de arquitectura.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Política de Respaldo y Recuperación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Div. TI · Depto. Producción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el Banco pueda </w:t>
      </w:r>
      <w:r>
        <w:rPr>
          <w:b/>
        </w:rPr>
        <w:t>reconstruir sus operaciones</w:t>
      </w:r>
      <w:r>
        <w:t xml:space="preserve"> en caso de pérdida o corrupción de información, mediante respaldos completos, seguros, geográficamente separados y </w:t>
      </w:r>
      <w:r>
        <w:rPr>
          <w:b/>
        </w:rPr>
        <w:t>probados</w:t>
      </w:r>
      <w:r>
        <w:t xml:space="preserve"> periódicamente, en cumplimiento del art. 492 de la RNRCSF.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toda la información crítica del Banco —core bancario, sistema de pagos, Banco En Línea, bases de datos, archivos de sucursales, respaldos de configuraciones, software y documentación necesaria para reconstruir operaciones—] y a todos los soportes donde se almacene.</w:t>
      </w:r>
    </w:p>
    <w:p>
      <w:pPr>
        <w:pStyle w:val="Heading3"/>
      </w:pPr>
      <w:r>
        <w:rPr>
          <w:color w:val="1F3B63"/>
        </w:rPr>
        <w:t>3. Alcance de los respaldos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Sistema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RPO objetivo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RTO objetivo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Frecuencia de respaldo</w:t>
            </w:r>
          </w:p>
        </w:tc>
      </w:tr>
      <w:tr>
        <w:tc>
          <w:tcPr>
            <w:tcW w:type="dxa" w:w="2412"/>
          </w:tcPr>
          <w:p>
            <w:r/>
            <w:r>
              <w:t>Core bancario</w:t>
            </w:r>
          </w:p>
        </w:tc>
        <w:tc>
          <w:tcPr>
            <w:tcW w:type="dxa" w:w="2412"/>
          </w:tcPr>
          <w:p>
            <w:r/>
            <w:r>
              <w:t>[COMPLETAR: ≤ 15 min]</w:t>
            </w:r>
          </w:p>
        </w:tc>
        <w:tc>
          <w:tcPr>
            <w:tcW w:type="dxa" w:w="2412"/>
          </w:tcPr>
          <w:p>
            <w:r/>
            <w:r>
              <w:t>[COMPLETAR: ≤ 4 h]</w:t>
            </w:r>
          </w:p>
        </w:tc>
        <w:tc>
          <w:tcPr>
            <w:tcW w:type="dxa" w:w="2412"/>
          </w:tcPr>
          <w:p>
            <w:r/>
            <w:r>
              <w:t>Continua (logs) + diaria</w:t>
            </w:r>
          </w:p>
        </w:tc>
      </w:tr>
      <w:tr>
        <w:tc>
          <w:tcPr>
            <w:tcW w:type="dxa" w:w="2412"/>
          </w:tcPr>
          <w:p>
            <w:r/>
            <w:r>
              <w:t>Sistema de pagos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Diaria + respaldo en línea</w:t>
            </w:r>
          </w:p>
        </w:tc>
      </w:tr>
      <w:tr>
        <w:tc>
          <w:tcPr>
            <w:tcW w:type="dxa" w:w="2412"/>
          </w:tcPr>
          <w:p>
            <w:r/>
            <w:r>
              <w:t>Banco En Línea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Diaria</w:t>
            </w:r>
          </w:p>
        </w:tc>
      </w:tr>
      <w:tr>
        <w:tc>
          <w:tcPr>
            <w:tcW w:type="dxa" w:w="2412"/>
          </w:tcPr>
          <w:p>
            <w:r/>
            <w:r>
              <w:t>Bases de datos y servidores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Diaria</w:t>
            </w:r>
          </w:p>
        </w:tc>
      </w:tr>
      <w:tr>
        <w:tc>
          <w:tcPr>
            <w:tcW w:type="dxa" w:w="2412"/>
          </w:tcPr>
          <w:p>
            <w:r/>
            <w:r>
              <w:t>Archivos de sucursales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Diaria / semanal</w:t>
            </w:r>
          </w:p>
        </w:tc>
      </w:tr>
      <w:tr>
        <w:tc>
          <w:tcPr>
            <w:tcW w:type="dxa" w:w="2412"/>
          </w:tcPr>
          <w:p>
            <w:r/>
            <w:r>
              <w:t>Configuraciones y documentación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Semanal</w:t>
            </w:r>
          </w:p>
        </w:tc>
      </w:tr>
    </w:tbl>
    <w:p>
      <w:pPr>
        <w:pStyle w:val="Heading3"/>
      </w:pPr>
      <w:r>
        <w:rPr>
          <w:color w:val="1F3B63"/>
        </w:rPr>
        <w:t>4. Esquema de copias</w:t>
      </w:r>
    </w:p>
    <w:p>
      <w:pPr>
        <w:pStyle w:val="ListBullet"/>
      </w:pPr>
      <w:r>
        <w:rPr>
          <w:b/>
        </w:rPr>
        <w:t>Copia primaria</w:t>
      </w:r>
      <w:r>
        <w:t xml:space="preserve"> en línea (datacenter del Banco).</w:t>
      </w:r>
    </w:p>
    <w:p>
      <w:pPr>
        <w:pStyle w:val="ListBullet"/>
      </w:pPr>
      <w:r>
        <w:rPr>
          <w:b/>
        </w:rPr>
        <w:t>Copia secundaria</w:t>
      </w:r>
      <w:r>
        <w:t xml:space="preserve"> en un </w:t>
      </w:r>
      <w:r>
        <w:rPr>
          <w:b/>
        </w:rPr>
        <w:t>sitio alternativo</w:t>
      </w:r>
      <w:r>
        <w:t xml:space="preserve"> que no se vea afectado por el mismo evento (otro edificio / otra ciudad) — exigencia del art. 492.</w:t>
      </w:r>
    </w:p>
    <w:p>
      <w:pPr>
        <w:pStyle w:val="ListBullet"/>
      </w:pPr>
      <w:r>
        <w:rPr>
          <w:b/>
        </w:rPr>
        <w:t>Retención:</w:t>
      </w:r>
      <w:r>
        <w:t xml:space="preserve"> [COMPLETAR: diarias 30 días, semanales 12 semanas, mensuales 12 meses, anuales 7 años o según normativa].</w:t>
      </w:r>
    </w:p>
    <w:p>
      <w:pPr>
        <w:pStyle w:val="ListBullet"/>
      </w:pPr>
      <w:r>
        <w:t xml:space="preserve">Al menos una copia se mantiene </w:t>
      </w:r>
      <w:r>
        <w:rPr>
          <w:b/>
        </w:rPr>
        <w:t>fuera de línea</w:t>
      </w:r>
      <w:r>
        <w:t xml:space="preserve"> (off-site) protegida contra ransomware.</w:t>
      </w:r>
    </w:p>
    <w:p>
      <w:pPr>
        <w:pStyle w:val="Heading3"/>
      </w:pPr>
      <w:r>
        <w:rPr>
          <w:color w:val="1F3B63"/>
        </w:rPr>
        <w:t>4.1. Respaldo cifrado</w:t>
      </w:r>
    </w:p>
    <w:p>
      <w:r>
        <w:t xml:space="preserve">Todos los respaldos se cifran en reposo con el estándar aprobado (PR-03). Las </w:t>
      </w:r>
      <w:r>
        <w:rPr>
          <w:b/>
        </w:rPr>
        <w:t>claves de desencriptación</w:t>
      </w:r>
      <w:r>
        <w:t xml:space="preserve"> se resguardan en custodia separada y bajo doble custodia, en ubicación distinta de los respaldos.</w:t>
      </w:r>
    </w:p>
    <w:p>
      <w:pPr>
        <w:pStyle w:val="Heading3"/>
      </w:pPr>
      <w:r>
        <w:rPr>
          <w:color w:val="1F3B63"/>
        </w:rPr>
        <w:t>5. Pruebas de restauración (obligación crítica del art. 492)</w:t>
      </w:r>
    </w:p>
    <w:p>
      <w:pPr>
        <w:pStyle w:val="ListBullet"/>
      </w:pPr>
      <w:r>
        <w:t xml:space="preserve">Se realiza </w:t>
      </w:r>
      <w:r>
        <w:rPr>
          <w:b/>
        </w:rPr>
        <w:t>anualmente una prueba de recuperación e integridad de la totalidad de la información</w:t>
      </w:r>
      <w:r>
        <w:t xml:space="preserve"> resguardada (no solo de una muestra).</w:t>
      </w:r>
    </w:p>
    <w:p>
      <w:pPr>
        <w:pStyle w:val="ListBullet"/>
      </w:pPr>
      <w:r>
        <w:t xml:space="preserve">Se verifica que los datos restaurados sean </w:t>
      </w:r>
      <w:r>
        <w:rPr>
          <w:b/>
        </w:rPr>
        <w:t>íntegros y utilizables</w:t>
      </w:r>
      <w:r>
        <w:t xml:space="preserve"> (validación con conciliación de registros).</w:t>
      </w:r>
    </w:p>
    <w:p>
      <w:pPr>
        <w:pStyle w:val="ListBullet"/>
      </w:pPr>
      <w:r>
        <w:t>Las pruebas se documentan con: alcance, fecha, sistemas probados, resultados, desviaciones y plan de corrección.</w:t>
      </w:r>
    </w:p>
    <w:p>
      <w:pPr>
        <w:pStyle w:val="ListBullet"/>
      </w:pPr>
      <w:r>
        <w:t xml:space="preserve">Adicionalmente, </w:t>
      </w:r>
      <w:r>
        <w:rPr>
          <w:b/>
        </w:rPr>
        <w:t>pruebas parciales trimestrales</w:t>
      </w:r>
      <w:r>
        <w:t xml:space="preserve"> de sistemas críticos.</w:t>
      </w:r>
    </w:p>
    <w:p>
      <w:pPr>
        <w:pStyle w:val="ListBullet"/>
      </w:pPr>
      <w:r>
        <w:t>Las pruebas se reportan al Comité y quedan disponibles para el BCU.</w:t>
      </w:r>
    </w:p>
    <w:p>
      <w:pPr>
        <w:pStyle w:val="Heading3"/>
      </w:pPr>
      <w:r>
        <w:rPr>
          <w:color w:val="1F3B63"/>
        </w:rPr>
        <w:t>6. Registro de respaldos</w:t>
      </w:r>
    </w:p>
    <w:p>
      <w:r>
        <w:t xml:space="preserve">Se mantiene un </w:t>
      </w:r>
      <w:r>
        <w:rPr>
          <w:b/>
        </w:rPr>
        <w:t>registro de ejecución de respaldos</w:t>
      </w:r>
      <w:r>
        <w:t xml:space="preserve"> con: fecha, sistema, tipo de copia, tamaño, destino, resultado (éxito/error) y responsable. Las fallas se atienden en el día y las recurrentes se tratan como incidente (RS-01).</w:t>
      </w:r>
    </w:p>
    <w:p>
      <w:pPr>
        <w:pStyle w:val="Heading3"/>
      </w:pPr>
      <w:r>
        <w:rPr>
          <w:color w:val="1F3B63"/>
        </w:rPr>
        <w:t>7.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 de Depto. Producción</w:t>
            </w:r>
          </w:p>
        </w:tc>
        <w:tc>
          <w:tcPr>
            <w:tcW w:type="dxa" w:w="4824"/>
          </w:tcPr>
          <w:p>
            <w:r/>
            <w:r>
              <w:t>Ejecutar y operar los respaldos; atención de fallas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Diseño de la arquitectura de respaldo y del sitio alternativo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Responsable del resguardo (categoría superior)</w:t>
            </w:r>
          </w:p>
        </w:tc>
        <w:tc>
          <w:tcPr>
            <w:tcW w:type="dxa" w:w="4824"/>
          </w:tcPr>
          <w:p>
            <w:r/>
            <w:r>
              <w:t>Supervisar la ejecución, las pruebas anuales y la custodia de claves [COMPLETAR: nombre/cargo]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Supervisión de cumplimiento y evidencia ante supervisores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4824"/>
          </w:tcPr>
          <w:p>
            <w:r/>
            <w:r>
              <w:t>Aprobar RPO/RTO y resultados de las pruebas</w:t>
            </w:r>
          </w:p>
        </w:tc>
      </w:tr>
    </w:tbl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Esquema de copias (ejemplo):</w:t>
      </w:r>
    </w:p>
    <w:p>
      <w:pPr>
        <w:pStyle w:val="ListBullet"/>
      </w:pPr>
      <w:r>
        <w:t xml:space="preserve">El </w:t>
      </w:r>
      <w:r>
        <w:rPr>
          <w:b/>
        </w:rPr>
        <w:t>core bancario</w:t>
      </w:r>
      <w:r>
        <w:t xml:space="preserve"> se respalda de forma continua (log shipping) hacia el </w:t>
      </w:r>
      <w:r>
        <w:rPr>
          <w:b/>
        </w:rPr>
        <w:t>datacenter secundario</w:t>
      </w:r>
      <w:r>
        <w:t xml:space="preserve"> ubicado en otro punto de Montevideo, más una copia diaria completa y una copia mensual que se envía a custodia </w:t>
      </w:r>
      <w:r>
        <w:rPr>
          <w:b/>
        </w:rPr>
        <w:t>fuera de la capital</w:t>
      </w:r>
      <w:r>
        <w:t>.</w:t>
      </w:r>
    </w:p>
    <w:p>
      <w:pPr>
        <w:pStyle w:val="ListBullet"/>
      </w:pPr>
      <w:r>
        <w:t xml:space="preserve">Los respaldos viajan y se almacenan </w:t>
      </w:r>
      <w:r>
        <w:rPr>
          <w:b/>
        </w:rPr>
        <w:t>cifrados (AES-256)</w:t>
      </w:r>
      <w:r>
        <w:t xml:space="preserve">; las </w:t>
      </w:r>
      <w:r>
        <w:rPr>
          <w:b/>
        </w:rPr>
        <w:t>claves de desencriptación</w:t>
      </w:r>
      <w:r>
        <w:t xml:space="preserve"> se custodian en la caja de seguridad de la Div. TI, bajo </w:t>
      </w:r>
      <w:r>
        <w:rPr>
          <w:b/>
        </w:rPr>
        <w:t>doble custodia</w:t>
      </w:r>
      <w:r>
        <w:t xml:space="preserve"> de dos funcionarios de categoría superior, en un edificio distinto al de los respaldos (cumplimiento del art. 492).</w:t>
      </w:r>
    </w:p>
    <w:p>
      <w:r>
        <w:rPr>
          <w:b/>
        </w:rPr>
        <w:t>Prueba anual de restauración (ejemplo):</w:t>
      </w:r>
    </w:p>
    <w:p>
      <w:pPr>
        <w:pStyle w:val="ListBullet"/>
      </w:pPr>
      <w:r>
        <w:t xml:space="preserve">En marzo de 2026 se ejecutó la prueba anual sobre </w:t>
      </w:r>
      <w:r>
        <w:rPr>
          <w:b/>
        </w:rPr>
        <w:t>la totalidad de la información</w:t>
      </w:r>
      <w:r>
        <w:t xml:space="preserve">: se restauraron en un ambiente aislado el core, el sistema de pagos y las bases de datos, se concilió el 100 % de los registros de una fecha de corte y se validó la desencriptación con las claves custodiadas. Resultado: </w:t>
      </w:r>
      <w:r>
        <w:rPr>
          <w:b/>
        </w:rPr>
        <w:t>integridad 100 %</w:t>
      </w:r>
      <w:r>
        <w:t>, con una desviación menor de tiempo de restauración en el módulo de archivos de sucursal, corregida en el mes siguiente. El informe quedó en el expediente de evidencia del BCU.</w:t>
      </w:r>
    </w:p>
    <w:p>
      <w:r>
        <w:rPr>
          <w:b/>
        </w:rPr>
        <w:t>Simulacro (ejemplo):</w:t>
      </w:r>
    </w:p>
    <w:p>
      <w:pPr>
        <w:pStyle w:val="ListBullet"/>
      </w:pPr>
      <w:r>
        <w:t>En el simulacro de continuidad (RC-02) se declaró indisponible el datacenter primario y la operación se recuperó desde el sitio alternativo dentro del RTO acordado (4 h), validando de paso el respaldo continuo del core.</w:t>
      </w:r>
    </w:p>
    <w:p>
      <w:r>
        <w:rPr>
          <w:b/>
        </w:rPr>
        <w:t>Documentos relacionados:</w:t>
      </w:r>
      <w:r>
        <w:t xml:space="preserve"> GV-01 (Política de Seguridad), PR-03 (Seguridad de Datos y Claves), PR-04 (Seguridad Física), RC-01 (Continuidad del Negocio), RC-02 (Recuperación ante Desastres), DE-01 (Monitoreo), RS-01 (Incidentes).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