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PR-06 · Gestión de Vulnerabilidades y Parches del Banco</w:t>
      </w:r>
    </w:p>
    <w:p>
      <w:pPr>
        <w:ind w:left="432"/>
      </w:pPr>
      <w:r>
        <w:rPr>
          <w:i/>
          <w:color w:val="606060"/>
        </w:rPr>
        <w:t>**Función del MCU 5.0:** Proteger (PR.PS — Seguridad de plataformas) · Detectar (DE.CM — Monitoreo continuo)</w:t>
      </w:r>
    </w:p>
    <w:p>
      <w:pPr>
        <w:ind w:left="432"/>
      </w:pPr>
      <w:r>
        <w:rPr>
          <w:i/>
          <w:color w:val="606060"/>
        </w:rPr>
        <w:t>**ISO/IEC 27001:** A.8.8 (Gestión de vulnerabilidades técnicas) · A.8.9 (Gestión de configuraciones)</w:t>
      </w:r>
    </w:p>
    <w:p>
      <w:pPr>
        <w:ind w:left="432"/>
      </w:pPr>
      <w:r>
        <w:rPr>
          <w:i/>
          <w:color w:val="606060"/>
        </w:rPr>
        <w:t>**BCU:** Estándares Mínimos de Gestión — Riesgo tecnológico; Circular 2280 (sistema de pagos)</w:t>
      </w:r>
    </w:p>
    <w:p>
      <w:pPr>
        <w:ind w:left="432"/>
      </w:pPr>
      <w:r>
        <w:rPr>
          <w:i/>
          <w:color w:val="606060"/>
        </w:rPr>
        <w:t>**URCDP:** Ley 18.331 art. 10 (medidas de seguridad)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Una vulnerabilidad sin parchear es una puerta abierta: los atacantes escanean internet en busca de sistemas bancarios con fallas conocidas y las explotan en horas. La gestión de vulnerabilidades y parches es el proceso que </w:t>
      </w:r>
      <w:r>
        <w:rPr>
          <w:b/>
        </w:rPr>
        <w:t>descubre, clasifica, prioriza, corrige y verifica</w:t>
      </w:r>
      <w:r>
        <w:t xml:space="preserve"> las debilidades técnicas antes de que sean aprovechadas. Agesic recomienda en su guía de gestión de vulnerabilidades </w:t>
      </w:r>
      <w:r>
        <w:rPr>
          <w:b/>
        </w:rPr>
        <w:t>escaneos periódicos mensuales</w:t>
      </w:r>
      <w:r>
        <w:t xml:space="preserve"> y plazos de corrección según criticidad.</w:t>
      </w:r>
    </w:p>
    <w:p>
      <w:r>
        <w:t xml:space="preserve">Esta política define cómo el Banco mantiene al día el </w:t>
      </w:r>
      <w:r>
        <w:rPr>
          <w:b/>
        </w:rPr>
        <w:t>inventario de activos</w:t>
      </w:r>
      <w:r>
        <w:t xml:space="preserve"> (base imprescindible del proceso), cómo se </w:t>
      </w:r>
      <w:r>
        <w:rPr>
          <w:b/>
        </w:rPr>
        <w:t>escanea</w:t>
      </w:r>
      <w:r>
        <w:t xml:space="preserve"> la infraestructura y las aplicaciones, cómo se </w:t>
      </w:r>
      <w:r>
        <w:rPr>
          <w:b/>
        </w:rPr>
        <w:t>prioriza</w:t>
      </w:r>
      <w:r>
        <w:t xml:space="preserve"> cada hallazgo (con el estándar CVSS y el contexto del banco), qué </w:t>
      </w:r>
      <w:r>
        <w:rPr>
          <w:b/>
        </w:rPr>
        <w:t>ventanas de parcheo</w:t>
      </w:r>
      <w:r>
        <w:t xml:space="preserve"> se respetan según criticidad, cómo se gestionan las </w:t>
      </w:r>
      <w:r>
        <w:rPr>
          <w:b/>
        </w:rPr>
        <w:t>excepciones</w:t>
      </w:r>
      <w:r>
        <w:t xml:space="preserve"> con mitigaciones compensatorias y cómo se </w:t>
      </w:r>
      <w:r>
        <w:rPr>
          <w:b/>
        </w:rPr>
        <w:t>valida</w:t>
      </w:r>
      <w:r>
        <w:t xml:space="preserve"> que el parche no haya roto la operación.</w:t>
      </w:r>
    </w:p>
    <w:p>
      <w:r>
        <w:t>En el Banco, los activos más críticos —core bancario, sistema de pagos y Banco En Línea— son también los que más cuidado requieren: un parche mal aplicado puede interrumpir el servicio tanto como la vulnerabilidad que se intenta corregir. Por eso esta política distingue entre los equipos de borde e infraestructura (parcheo ágil) y los sistemas centrales (parcheo planificado con ventana de mantenimiento y prueba).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 aplicable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4824"/>
          </w:tcPr>
          <w:p>
            <w:r/>
            <w:r>
              <w:t>PR.PS — seguridad de plataformas (configuración y mantenimiento); DE.CM — monitoreo continuo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4824"/>
          </w:tcPr>
          <w:p>
            <w:r/>
            <w:r>
              <w:t>A.8.8 gestión de vulnerabilidades técnicas; A.8.9 gestión de configuraciones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4824"/>
          </w:tcPr>
          <w:p>
            <w:r/>
            <w:r>
              <w:t>EMG · Riesgo tecnológico; Circular 2280 (seguridad del sistema de pagos)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4824"/>
          </w:tcPr>
          <w:p>
            <w:r/>
            <w:r>
              <w:t>Ley 18.331 art. 10 (medidas de seguridad técnicas)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Agesic</w:t>
            </w:r>
          </w:p>
        </w:tc>
        <w:tc>
          <w:tcPr>
            <w:tcW w:type="dxa" w:w="4824"/>
          </w:tcPr>
          <w:p>
            <w:r/>
            <w:r>
              <w:t>Guía para la gestión de vulnerabilidades (escaneo mensual recomendado)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(código, versión, fecha). La aprueba el Comité de Seguridad de la Información.</w:t>
      </w:r>
    </w:p>
    <w:p>
      <w:pPr>
        <w:pStyle w:val="ListNumber"/>
      </w:pPr>
      <w:r>
        <w:rPr>
          <w:b/>
        </w:rPr>
        <w:t>Verificá con la Div. TI</w:t>
      </w:r>
      <w:r>
        <w:t xml:space="preserve"> que el inventario de activos (ID-01) esté actualizado: sin inventario no hay escaneo confiable.</w:t>
      </w:r>
    </w:p>
    <w:p>
      <w:pPr>
        <w:pStyle w:val="ListNumber"/>
      </w:pPr>
      <w:r>
        <w:rPr>
          <w:b/>
        </w:rPr>
        <w:t>Definí con Producción y Soporte</w:t>
      </w:r>
      <w:r>
        <w:t xml:space="preserve"> la herramienta de escaneo, la frecuencia (mensual) y las ventanas de mantenimiento por sistema.</w:t>
      </w:r>
    </w:p>
    <w:p>
      <w:pPr>
        <w:pStyle w:val="ListNumber"/>
      </w:pPr>
      <w:r>
        <w:rPr>
          <w:b/>
        </w:rPr>
        <w:t>Personalizá los apartados [COMPLETAR]</w:t>
      </w:r>
      <w:r>
        <w:t xml:space="preserve"> con CVSS, plazos de parcheo y responsables reales.</w:t>
      </w:r>
    </w:p>
    <w:p>
      <w:pPr>
        <w:pStyle w:val="ListNumber"/>
      </w:pPr>
      <w:r>
        <w:rPr>
          <w:b/>
        </w:rPr>
        <w:t>Coordiná el proceso de excepciones</w:t>
      </w:r>
      <w:r>
        <w:t xml:space="preserve"> con el Jefe de Riesgos No Financieros (aceptación formal del riesgo residual).</w:t>
      </w:r>
    </w:p>
    <w:p>
      <w:pPr>
        <w:pStyle w:val="ListNumber"/>
      </w:pPr>
      <w:r>
        <w:rPr>
          <w:b/>
        </w:rPr>
        <w:t>Aprobá, registrá en el control de cambios</w:t>
      </w:r>
      <w:r>
        <w:t xml:space="preserve"> y publicá en </w:t>
      </w:r>
      <w:r>
        <w:rPr>
          <w:rFonts w:ascii="Consolas" w:hAnsi="Consolas"/>
          <w:sz w:val="20"/>
        </w:rPr>
        <w:t>02-ENTREGABLES/C-PROTEGER</w:t>
      </w:r>
      <w:r>
        <w:t>. Revisá anualmente.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PR-06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Gestión de Vulnerabilidades y Parches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Div. TI · Depto. Producción ·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Detectar, priorizar, corregir y verificar las </w:t>
      </w:r>
      <w:r>
        <w:rPr>
          <w:b/>
        </w:rPr>
        <w:t>vulnerabilidades técnicas</w:t>
      </w:r>
      <w:r>
        <w:t xml:space="preserve"> de los sistemas del Banco dentro de plazos acordes a su riesgo, minimizando la ventana de exposición a ataques sin afectar la disponibilidad de los servicios.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todos los activos tecnológicos del Banco —servidores, estaciones de trabajo, equipos de red, bases de datos, sistemas operativos, aplicaciones del core, Banco En Línea, sistema de pagos—] incluyendo los sistemas administrados o alojados por terceros que procesen información del banco.</w:t>
      </w:r>
    </w:p>
    <w:p>
      <w:pPr>
        <w:pStyle w:val="Heading3"/>
      </w:pPr>
      <w:r>
        <w:rPr>
          <w:color w:val="1F3B63"/>
        </w:rPr>
        <w:t>3. Base: inventario de activos actualizado</w:t>
      </w:r>
    </w:p>
    <w:p>
      <w:pPr>
        <w:pStyle w:val="ListBullet"/>
      </w:pPr>
      <w:r>
        <w:t xml:space="preserve">El proceso parte del </w:t>
      </w:r>
      <w:r>
        <w:rPr>
          <w:b/>
        </w:rPr>
        <w:t>inventario de activos</w:t>
      </w:r>
      <w:r>
        <w:t xml:space="preserve"> (ID-01), actualizado al menos trimestralmente o ante cambios significativos.</w:t>
      </w:r>
    </w:p>
    <w:p>
      <w:pPr>
        <w:pStyle w:val="ListBullet"/>
      </w:pPr>
      <w:r>
        <w:t>Se incluyen: IP, sistema operativo, versión, propietario y criticidad del activo.</w:t>
      </w:r>
    </w:p>
    <w:p>
      <w:pPr>
        <w:pStyle w:val="ListBullet"/>
      </w:pPr>
      <w:r>
        <w:t xml:space="preserve">Los activos fuera de soporte (EOL/EOS) se identifican y se les aplica </w:t>
      </w:r>
      <w:r>
        <w:rPr>
          <w:b/>
        </w:rPr>
        <w:t>mitigación compensatoria</w:t>
      </w:r>
      <w:r>
        <w:t xml:space="preserve"> o plan de retiro.</w:t>
      </w:r>
    </w:p>
    <w:p>
      <w:pPr>
        <w:pStyle w:val="Heading3"/>
      </w:pPr>
      <w:r>
        <w:rPr>
          <w:color w:val="1F3B63"/>
        </w:rPr>
        <w:t>4. Escaneo periódico</w:t>
      </w:r>
    </w:p>
    <w:p>
      <w:pPr>
        <w:pStyle w:val="ListBullet"/>
      </w:pPr>
      <w:r>
        <w:rPr>
          <w:b/>
        </w:rPr>
        <w:t>Escaneo de vulnerabilidades mensual</w:t>
      </w:r>
      <w:r>
        <w:t xml:space="preserve"> (recomendación de Agesic) sobre toda la red interna y los perímetros [COMPLETAR: herramienta de escaneo, p. ej. herramientas open source como OpenVAS o soluciones comerciales].</w:t>
      </w:r>
    </w:p>
    <w:p>
      <w:pPr>
        <w:pStyle w:val="ListBullet"/>
      </w:pPr>
      <w:r>
        <w:rPr>
          <w:b/>
        </w:rPr>
        <w:t>Escaneos específicos</w:t>
      </w:r>
      <w:r>
        <w:t xml:space="preserve"> tras: cambios mayores, instalación de servicios expuestos y ante avisos de vulnerabilidades activas (CVE con explotación en curso).</w:t>
      </w:r>
    </w:p>
    <w:p>
      <w:pPr>
        <w:pStyle w:val="ListBullet"/>
      </w:pPr>
      <w:r>
        <w:t>Las credenciales de escaneo se gestionan como cuentas privilegiadas (PR-01).</w:t>
      </w:r>
    </w:p>
    <w:p>
      <w:pPr>
        <w:pStyle w:val="Heading3"/>
      </w:pPr>
      <w:r>
        <w:rPr>
          <w:color w:val="1F3B63"/>
        </w:rPr>
        <w:t>5. Clasificación y priorización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Criticidad (CVSS)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Plazo de parcheo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Observaciones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Crítico (≥ 9.0)</w:t>
            </w:r>
          </w:p>
        </w:tc>
        <w:tc>
          <w:tcPr>
            <w:tcW w:type="dxa" w:w="3216"/>
          </w:tcPr>
          <w:p>
            <w:r/>
            <w:r>
              <w:t>[COMPLETAR: 48–72 h]</w:t>
            </w:r>
          </w:p>
        </w:tc>
        <w:tc>
          <w:tcPr>
            <w:tcW w:type="dxa" w:w="3216"/>
          </w:tcPr>
          <w:p>
            <w:r/>
            <w:r>
              <w:t>Incluye mitigación inmediata mientras se corrige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Alto (7.0–8.9)</w:t>
            </w:r>
          </w:p>
        </w:tc>
        <w:tc>
          <w:tcPr>
            <w:tcW w:type="dxa" w:w="3216"/>
          </w:tcPr>
          <w:p>
            <w:r/>
            <w:r>
              <w:t>[COMPLETAR: 2 semanas]</w:t>
            </w:r>
          </w:p>
        </w:tc>
        <w:tc>
          <w:tcPr>
            <w:tcW w:type="dxa" w:w="3216"/>
          </w:tcPr>
          <w:p>
            <w:r/>
            <w:r>
              <w:t>Planificar en la ventana de mantenimiento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Medio (4.0–6.9)</w:t>
            </w:r>
          </w:p>
        </w:tc>
        <w:tc>
          <w:tcPr>
            <w:tcW w:type="dxa" w:w="3216"/>
          </w:tcPr>
          <w:p>
            <w:r/>
            <w:r>
              <w:t>[COMPLETAR: 1 mes]</w:t>
            </w:r>
          </w:p>
        </w:tc>
        <w:tc>
          <w:tcPr>
            <w:tcW w:type="dxa" w:w="3216"/>
          </w:tcPr>
          <w:p>
            <w:r/>
            <w:r>
              <w:t>Parcheo en el ciclo regular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Bajo (&lt; 4.0)</w:t>
            </w:r>
          </w:p>
        </w:tc>
        <w:tc>
          <w:tcPr>
            <w:tcW w:type="dxa" w:w="3216"/>
          </w:tcPr>
          <w:p>
            <w:r/>
            <w:r>
              <w:t>[COMPLETAR: 3 meses]</w:t>
            </w:r>
          </w:p>
        </w:tc>
        <w:tc>
          <w:tcPr>
            <w:tcW w:type="dxa" w:w="3216"/>
          </w:tcPr>
          <w:p>
            <w:r/>
            <w:r>
              <w:t>Acumular al ciclo trimestral</w:t>
            </w:r>
          </w:p>
        </w:tc>
      </w:tr>
    </w:tbl>
    <w:p>
      <w:pPr>
        <w:pStyle w:val="ListBullet"/>
      </w:pPr>
      <w:r>
        <w:t xml:space="preserve">La prioridad se ajusta por </w:t>
      </w:r>
      <w:r>
        <w:rPr>
          <w:b/>
        </w:rPr>
        <w:t>contexto</w:t>
      </w:r>
      <w:r>
        <w:t>: exposición a internet, presencia de datos personales o de pago, y existencia de exploit público.</w:t>
      </w:r>
    </w:p>
    <w:p>
      <w:pPr>
        <w:pStyle w:val="Heading3"/>
      </w:pPr>
      <w:r>
        <w:rPr>
          <w:color w:val="1F3B63"/>
        </w:rPr>
        <w:t>6. Ventanas de parcheo y aplicación</w:t>
      </w:r>
    </w:p>
    <w:p>
      <w:pPr>
        <w:pStyle w:val="ListBullet"/>
      </w:pPr>
      <w:r>
        <w:rPr>
          <w:b/>
        </w:rPr>
        <w:t>Equipos de borde y estaciones:</w:t>
      </w:r>
      <w:r>
        <w:t xml:space="preserve"> parcheo inmediato según plazo.</w:t>
      </w:r>
    </w:p>
    <w:p>
      <w:pPr>
        <w:pStyle w:val="ListBullet"/>
      </w:pPr>
      <w:r>
        <w:rPr>
          <w:b/>
        </w:rPr>
        <w:t>Sistemas centrales (core, pagos):</w:t>
      </w:r>
      <w:r>
        <w:t xml:space="preserve"> parcheo en </w:t>
      </w:r>
      <w:r>
        <w:rPr>
          <w:b/>
        </w:rPr>
        <w:t>ventana de mantenimiento planificada</w:t>
      </w:r>
      <w:r>
        <w:t>, con prueba previa en ambiente de homologación.</w:t>
      </w:r>
    </w:p>
    <w:p>
      <w:pPr>
        <w:pStyle w:val="ListBullet"/>
      </w:pPr>
      <w:r>
        <w:t>Los parches se prueban en ambiente de prueba antes de producción (salvo vulnerabilidad crítica con riesgo mayor que el del cambio).</w:t>
      </w:r>
    </w:p>
    <w:p>
      <w:pPr>
        <w:pStyle w:val="ListBullet"/>
      </w:pPr>
      <w:r>
        <w:rPr>
          <w:b/>
        </w:rPr>
        <w:t>Validación posterior:</w:t>
      </w:r>
      <w:r>
        <w:t xml:space="preserve"> verificar que el servicio quedó operativo, los controles activos y que la vulnerabilidad ya no figura en el escaneo.</w:t>
      </w:r>
    </w:p>
    <w:p>
      <w:pPr>
        <w:pStyle w:val="Heading3"/>
      </w:pPr>
      <w:r>
        <w:rPr>
          <w:color w:val="1F3B63"/>
        </w:rPr>
        <w:t>7. Gestión de excepciones</w:t>
      </w:r>
    </w:p>
    <w:p>
      <w:pPr>
        <w:pStyle w:val="ListBullet"/>
      </w:pPr>
      <w:r>
        <w:t xml:space="preserve">Si no es posible parchear en plazo, se registra una </w:t>
      </w:r>
      <w:r>
        <w:rPr>
          <w:b/>
        </w:rPr>
        <w:t>excepción</w:t>
      </w:r>
      <w:r>
        <w:t xml:space="preserve"> con: activo, vulnerabilidad, motivo, mitigación compensatoria, responsable y </w:t>
      </w:r>
      <w:r>
        <w:rPr>
          <w:b/>
        </w:rPr>
        <w:t>fecha de vencimiento</w:t>
      </w:r>
      <w:r>
        <w:t>.</w:t>
      </w:r>
    </w:p>
    <w:p>
      <w:pPr>
        <w:pStyle w:val="ListBullet"/>
      </w:pPr>
      <w:r>
        <w:t xml:space="preserve">Las excepciones de activos críticos se aprueban por el </w:t>
      </w:r>
      <w:r>
        <w:rPr>
          <w:b/>
        </w:rPr>
        <w:t>Comité de Seguridad</w:t>
      </w:r>
      <w:r>
        <w:t>; el resto, por el RSI con el dueño del activo.</w:t>
      </w:r>
    </w:p>
    <w:p>
      <w:pPr>
        <w:pStyle w:val="ListBullet"/>
      </w:pPr>
      <w:r>
        <w:t>Las excepciones se revisan al menos trimestralmente.</w:t>
      </w:r>
    </w:p>
    <w:p>
      <w:pPr>
        <w:pStyle w:val="Heading3"/>
      </w:pPr>
      <w:r>
        <w:rPr>
          <w:color w:val="1F3B63"/>
        </w:rPr>
        <w:t>8. Reporte</w:t>
      </w:r>
    </w:p>
    <w:p>
      <w:r>
        <w:t>El RSI reporta trimestralmente al Comité: número de vulnerabilidades por criticidad, cumplimiento de plazos, excepciones vigentes y tendencia. El informe queda disponible para auditorías del BCU y de Agesic.</w:t>
      </w:r>
    </w:p>
    <w:p>
      <w:pPr>
        <w:pStyle w:val="Heading3"/>
      </w:pPr>
      <w:r>
        <w:rPr>
          <w:color w:val="1F3B63"/>
        </w:rPr>
        <w:t>9.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 (Producción/Sistemas)</w:t>
            </w:r>
          </w:p>
        </w:tc>
        <w:tc>
          <w:tcPr>
            <w:tcW w:type="dxa" w:w="4824"/>
          </w:tcPr>
          <w:p>
            <w:r/>
            <w:r>
              <w:t>Ejecutar escaneos y parcheo; mantener el inventario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Dueños de activos</w:t>
            </w:r>
          </w:p>
        </w:tc>
        <w:tc>
          <w:tcPr>
            <w:tcW w:type="dxa" w:w="4824"/>
          </w:tcPr>
          <w:p>
            <w:r/>
            <w:r>
              <w:t>Aprobar parcheo en sistemas de su área; aceptar riesgos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Coordinar el proceso, analizar resultados, excepciones y reporte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Jefe de Riesgos No Financieros</w:t>
            </w:r>
          </w:p>
        </w:tc>
        <w:tc>
          <w:tcPr>
            <w:tcW w:type="dxa" w:w="4824"/>
          </w:tcPr>
          <w:p>
            <w:r/>
            <w:r>
              <w:t>Aceptar formalmente el riesgo residual de excepciones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Seguridad</w:t>
            </w:r>
          </w:p>
        </w:tc>
        <w:tc>
          <w:tcPr>
            <w:tcW w:type="dxa" w:w="4824"/>
          </w:tcPr>
          <w:p>
            <w:r/>
            <w:r>
              <w:t>Aprobar plazos, excepciones críticas y plan anual</w:t>
            </w:r>
          </w:p>
        </w:tc>
      </w:tr>
    </w:tbl>
    <w:p>
      <w:pPr>
        <w:pStyle w:val="Heading3"/>
      </w:pPr>
      <w:r>
        <w:rPr>
          <w:color w:val="1F3B63"/>
        </w:rPr>
        <w:t>10.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Comité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el apartado 4 completado. Adaptá al contenido institucional real del Banco.</w:t>
      </w:r>
    </w:p>
    <w:p>
      <w:r>
        <w:rPr>
          <w:b/>
        </w:rPr>
        <w:t>Escaneo (ejemplo):</w:t>
      </w:r>
    </w:p>
    <w:p>
      <w:pPr>
        <w:pStyle w:val="ListBullet"/>
      </w:pPr>
      <w:r>
        <w:t xml:space="preserve">El Banco ejecuta un </w:t>
      </w:r>
      <w:r>
        <w:rPr>
          <w:b/>
        </w:rPr>
        <w:t>escaneo mensual</w:t>
      </w:r>
      <w:r>
        <w:t xml:space="preserve"> sobre toda la red con su herramienta de escaneo; en enero de 2026 detectó 3 vulnerabilidades críticas en un equipo perimetral de conexión con el sistema de pagos. Dos se parchearon en </w:t>
      </w:r>
      <w:r>
        <w:rPr>
          <w:b/>
        </w:rPr>
        <w:t>48 h</w:t>
      </w:r>
      <w:r>
        <w:t xml:space="preserve">; la tercera requirió excepción de 15 días (por compatibilidad con el middleware) con </w:t>
      </w:r>
      <w:r>
        <w:rPr>
          <w:b/>
        </w:rPr>
        <w:t>mitigación compensatoria</w:t>
      </w:r>
      <w:r>
        <w:t>: regla de firewall restrictiva y monitoreo intensificado de ese equipo.</w:t>
      </w:r>
    </w:p>
    <w:p>
      <w:r>
        <w:rPr>
          <w:b/>
        </w:rPr>
        <w:t>Ventana de mantenimiento (ejemplo):</w:t>
      </w:r>
    </w:p>
    <w:p>
      <w:pPr>
        <w:pStyle w:val="ListBullet"/>
      </w:pPr>
      <w:r>
        <w:t xml:space="preserve">Los parches de seguridad del </w:t>
      </w:r>
      <w:r>
        <w:rPr>
          <w:b/>
        </w:rPr>
        <w:t>core bancario</w:t>
      </w:r>
      <w:r>
        <w:t xml:space="preserve"> se aplican en la ventana mensual de mantenimiento (domingos de 02:00 a 05:00), tras validación en el ambiente de homologación. En el ciclo de marzo se aplicaron los parches de alta prioridad sin afectar la operación y la validación posterior confirmó el servicio activo a las 05:30.</w:t>
      </w:r>
    </w:p>
    <w:p>
      <w:r>
        <w:rPr>
          <w:b/>
        </w:rPr>
        <w:t>Ciclo de mejora (ejemplo):</w:t>
      </w:r>
    </w:p>
    <w:p>
      <w:pPr>
        <w:pStyle w:val="ListBullet"/>
      </w:pPr>
      <w:r>
        <w:t>Al detectar que el 20 % de las estaciones de sucursal tenía parches pendientes por baja conectividad, se habilitó la descarga de parches por el canal de replicación local y el cumplimiento subió de 80 % a 97 % en dos meses. El resultado se reportó al Comité junto con la tendencia trimestral.</w:t>
      </w:r>
    </w:p>
    <w:p>
      <w:r>
        <w:rPr>
          <w:b/>
        </w:rPr>
        <w:t>Documentos relacionados:</w:t>
      </w:r>
      <w:r>
        <w:t xml:space="preserve"> ID-01 (Inventario de Activos), PR-01 (Control de Acceso), PR-03 (Seguridad de Datos), DE-01 (Monitoreo), DE-03 (Pruebas de Seguridad), RS-01 (Incidentes), PR-07 (Desarrollo Seguro).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