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PR-07 · Seguridad en el Desarrollo de Software (SDLC)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Proteger (PR.PS — Procesos de protección) · Identificar (ID.RA — Riesgos)</w:t>
      </w:r>
    </w:p>
    <w:p>
      <w:pPr>
        <w:ind w:left="432"/>
      </w:pPr>
      <w:r>
        <w:rPr>
          <w:i/>
          <w:color w:val="606060"/>
        </w:rPr>
        <w:t>**ISO/IEC 27001:** A.8.25 (Ciclo de vida de desarrollo seguro) · A.8.26 (Requisitos de seguridad de las aplicaciones) · A.8.27 (Arquitectura segura) · A.8.28 (Codificación segura) · A.8.31 (Separación de ambientes)</w:t>
      </w:r>
    </w:p>
    <w:p>
      <w:pPr>
        <w:ind w:left="432"/>
      </w:pPr>
      <w:r>
        <w:rPr>
          <w:i/>
          <w:color w:val="606060"/>
        </w:rPr>
        <w:t>**BCU:** Estándares Mínimos de Gestión — Función de Gestión de TI</w:t>
      </w:r>
    </w:p>
    <w:p>
      <w:pPr>
        <w:ind w:left="432"/>
      </w:pPr>
      <w:r>
        <w:rPr>
          <w:i/>
          <w:color w:val="606060"/>
        </w:rPr>
        <w:t>**URCDP:** Ley 18.331 art. 12 · Decreto 64/020 (privacidad por diseño y por defecto)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software que desarrolla o manda a desarrollar el Banco (aplicaciones sobre el </w:t>
      </w:r>
      <w:r>
        <w:rPr>
          <w:b/>
        </w:rPr>
        <w:t>core bancario</w:t>
      </w:r>
      <w:r>
        <w:t xml:space="preserve">, mejoras al </w:t>
      </w:r>
      <w:r>
        <w:rPr>
          <w:b/>
        </w:rPr>
        <w:t>Banco En Línea</w:t>
      </w:r>
      <w:r>
        <w:t xml:space="preserve">, integraciones con el </w:t>
      </w:r>
      <w:r>
        <w:rPr>
          <w:b/>
        </w:rPr>
        <w:t>sistema de pagos</w:t>
      </w:r>
      <w:r>
        <w:t xml:space="preserve">, herramientas internas) es donde la seguridad se gana o se pierde. Arreglar una falla de seguridad después de poner la aplicación en producción cuesta hasta decenas de veces más que evitarla en el diseño, y expone datos de clientes mientras tanto. Por eso la seguridad debe </w:t>
      </w:r>
      <w:r>
        <w:rPr>
          <w:b/>
        </w:rPr>
        <w:t>integrarse en todo el ciclo de desarrollo</w:t>
      </w:r>
      <w:r>
        <w:t xml:space="preserve"> (SDLC), no revisarse al final.</w:t>
      </w:r>
    </w:p>
    <w:p>
      <w:r>
        <w:t xml:space="preserve">Esta política define cómo el Banco construye software seguro: </w:t>
      </w:r>
      <w:r>
        <w:rPr>
          <w:b/>
        </w:rPr>
        <w:t>requisitos de seguridad</w:t>
      </w:r>
      <w:r>
        <w:t xml:space="preserve"> desde el inicio, </w:t>
      </w:r>
      <w:r>
        <w:rPr>
          <w:b/>
        </w:rPr>
        <w:t>threat modeling</w:t>
      </w:r>
      <w:r>
        <w:t xml:space="preserve"> de los componentes críticos, </w:t>
      </w:r>
      <w:r>
        <w:rPr>
          <w:b/>
        </w:rPr>
        <w:t>revisión de código</w:t>
      </w:r>
      <w:r>
        <w:t xml:space="preserve">, </w:t>
      </w:r>
      <w:r>
        <w:rPr>
          <w:b/>
        </w:rPr>
        <w:t>análisis estático (SAST)</w:t>
      </w:r>
      <w:r>
        <w:t xml:space="preserve"> y </w:t>
      </w:r>
      <w:r>
        <w:rPr>
          <w:b/>
        </w:rPr>
        <w:t>dinámico (DAST)</w:t>
      </w:r>
      <w:r>
        <w:t xml:space="preserve">, gestión de </w:t>
      </w:r>
      <w:r>
        <w:rPr>
          <w:b/>
        </w:rPr>
        <w:t>dependencias y SBOM</w:t>
      </w:r>
      <w:r>
        <w:t xml:space="preserve">, </w:t>
      </w:r>
      <w:r>
        <w:rPr>
          <w:b/>
        </w:rPr>
        <w:t>pruebas de seguridad previas a producción</w:t>
      </w:r>
      <w:r>
        <w:t xml:space="preserve"> y </w:t>
      </w:r>
      <w:r>
        <w:rPr>
          <w:b/>
        </w:rPr>
        <w:t>ambientes de desarrollo y producción separados</w:t>
      </w:r>
      <w:r>
        <w:t>. Aplica tanto al desarrollo interno (División de Sistemas) como a los proveedores que desarrollan para el banco.</w:t>
      </w:r>
    </w:p>
    <w:p>
      <w:r>
        <w:t xml:space="preserve">Además, la URCDP exige la </w:t>
      </w:r>
      <w:r>
        <w:rPr>
          <w:b/>
        </w:rPr>
        <w:t>privacidad por diseño</w:t>
      </w:r>
      <w:r>
        <w:t xml:space="preserve"> (Decreto 64/020): las aplicaciones que tratan datos personales deben incorporar la protección de datos desde el diseño y por defecto. El DPD debe participar en las etapas tempranas de los proyectos que tratan datos personales, con evaluación de impacto (EIPD, URCDP-05) cuando corresponda.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 aplicable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4824"/>
          </w:tcPr>
          <w:p>
            <w:r/>
            <w:r>
              <w:t>PR.PS — procesos y procedimientos de protección (desarrollo seguro)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4824"/>
          </w:tcPr>
          <w:p>
            <w:r/>
            <w:r>
              <w:t>A.8.25 desarrollo seguro; A.8.26 requisitos de seguridad; A.8.27 arquitectura segura; A.8.28 codificación segura; A.8.31 separación de ambientes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4824"/>
          </w:tcPr>
          <w:p>
            <w:r/>
            <w:r>
              <w:t>EMG · Función de Gestión de TI (primera línea: arquitectura, desarrollo, operación)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4824"/>
          </w:tcPr>
          <w:p>
            <w:r/>
            <w:r>
              <w:t>Ley 18.331 arts. 10 y 12; Decreto 64/020 (privacidad por diseño y por defecto); EIPD (URCDP-05)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(código, versión, fecha). La aprueba el Comité de Seguridad de la Información.</w:t>
      </w:r>
    </w:p>
    <w:p>
      <w:pPr>
        <w:pStyle w:val="ListNumber"/>
      </w:pPr>
      <w:r>
        <w:rPr>
          <w:b/>
        </w:rPr>
        <w:t>Coordiná con la División de Sistemas</w:t>
      </w:r>
      <w:r>
        <w:t xml:space="preserve"> (Jefe de Departamento Sistemas, Lic. Cristian Palo) el proceso de desarrollo actual y dónde insertar los controles.</w:t>
      </w:r>
    </w:p>
    <w:p>
      <w:pPr>
        <w:pStyle w:val="ListNumber"/>
      </w:pPr>
      <w:r>
        <w:rPr>
          <w:b/>
        </w:rPr>
        <w:t>Definí con Compras y Contrataciones</w:t>
      </w:r>
      <w:r>
        <w:t xml:space="preserve"> cómo se aplicará esta política a los </w:t>
      </w:r>
      <w:r>
        <w:rPr>
          <w:b/>
        </w:rPr>
        <w:t>proveedores de desarrollo</w:t>
      </w:r>
      <w:r>
        <w:t xml:space="preserve"> (cláusulas contractuales de seguridad — ver PR-08).</w:t>
      </w:r>
    </w:p>
    <w:p>
      <w:pPr>
        <w:pStyle w:val="ListNumber"/>
      </w:pPr>
      <w:r>
        <w:rPr>
          <w:b/>
        </w:rPr>
        <w:t>Personalizá los apartados [COMPLETAR]</w:t>
      </w:r>
      <w:r>
        <w:t xml:space="preserve"> con las herramientas de SAST/DAST/SBOM y los umbrales de aceptación.</w:t>
      </w:r>
    </w:p>
    <w:p>
      <w:pPr>
        <w:pStyle w:val="ListNumber"/>
      </w:pPr>
      <w:r>
        <w:rPr>
          <w:b/>
        </w:rPr>
        <w:t>Incluí al DPD</w:t>
      </w:r>
      <w:r>
        <w:t xml:space="preserve"> en los proyectos que tratan datos personales (privacidad por diseño).</w:t>
      </w:r>
    </w:p>
    <w:p>
      <w:pPr>
        <w:pStyle w:val="ListNumber"/>
      </w:pPr>
      <w:r>
        <w:rPr>
          <w:b/>
        </w:rPr>
        <w:t>Aprobá, registrá en el control de cambios</w:t>
      </w:r>
      <w:r>
        <w:t xml:space="preserve"> y publicá en </w:t>
      </w:r>
      <w:r>
        <w:rPr>
          <w:rFonts w:ascii="Consolas" w:hAnsi="Consolas"/>
          <w:sz w:val="20"/>
        </w:rPr>
        <w:t>02-ENTREGABLES/C-PROTEGER</w:t>
      </w:r>
      <w:r>
        <w:t>. Revisá anualmente o al cambiar de plataforma de desarrollo.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PR-07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Seguridad en el Desarrollo de Software (SDLC)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Div. Sistemas · DPD ·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Incorporar la seguridad en </w:t>
      </w:r>
      <w:r>
        <w:rPr>
          <w:b/>
        </w:rPr>
        <w:t>todas las etapas del ciclo de vida del software</w:t>
      </w:r>
      <w:r>
        <w:t xml:space="preserve"> del Banco —interno o de terceros— de modo que las aplicaciones en producción cumplan los requisitos de seguridad y protección de datos desde el diseño, reduciendo vulnerabilidades y fallas de privacidad.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todo desarrollo, mantenimiento, personalización y adquisición de software del Banco —core, Banco En Línea, sistema de pagos, aplicaciones internas, integraciones y APIs—] realizado por la División de Sistemas o por proveedores externos.</w:t>
      </w:r>
    </w:p>
    <w:p>
      <w:pPr>
        <w:pStyle w:val="Heading3"/>
      </w:pPr>
      <w:r>
        <w:rPr>
          <w:color w:val="1F3B63"/>
        </w:rPr>
        <w:t>3. Ciclo de desarrollo seguro (fases)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Fase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Controles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Requisitos</w:t>
            </w:r>
          </w:p>
        </w:tc>
        <w:tc>
          <w:tcPr>
            <w:tcW w:type="dxa" w:w="4824"/>
          </w:tcPr>
          <w:p>
            <w:r/>
            <w:r>
              <w:t>Requisitos de seguridad y privacidad por diseño; revisión del DPD si hay datos personales; EIPD si corresponde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Diseño</w:t>
            </w:r>
          </w:p>
        </w:tc>
        <w:tc>
          <w:tcPr>
            <w:tcW w:type="dxa" w:w="4824"/>
          </w:tcPr>
          <w:p>
            <w:r/>
            <w:r>
              <w:t>Threat modeling de componentes críticos; arquitectura segura; revisión de autenticación y autorización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Codificación</w:t>
            </w:r>
          </w:p>
        </w:tc>
        <w:tc>
          <w:tcPr>
            <w:tcW w:type="dxa" w:w="4824"/>
          </w:tcPr>
          <w:p>
            <w:r/>
            <w:r>
              <w:t>Guía de codificación segura; análisis estático (SAST) en cada integración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Pruebas</w:t>
            </w:r>
          </w:p>
        </w:tc>
        <w:tc>
          <w:tcPr>
            <w:tcW w:type="dxa" w:w="4824"/>
          </w:tcPr>
          <w:p>
            <w:r/>
            <w:r>
              <w:t>Pruebas funcionales + seguridad (DAST); prueba de datos enmascarados; pruebas de acceso y control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Despliegue</w:t>
            </w:r>
          </w:p>
        </w:tc>
        <w:tc>
          <w:tcPr>
            <w:tcW w:type="dxa" w:w="4824"/>
          </w:tcPr>
          <w:p>
            <w:r/>
            <w:r>
              <w:t>Revisión de configuración segura; escaneo de dependencias (SBOM); aprobación de liberación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Operación y mantenimiento</w:t>
            </w:r>
          </w:p>
        </w:tc>
        <w:tc>
          <w:tcPr>
            <w:tcW w:type="dxa" w:w="4824"/>
          </w:tcPr>
          <w:p>
            <w:r/>
            <w:r>
              <w:t>Monitoreo; gestión de vulnerabilidades (PR-06); parches de la aplicación</w:t>
            </w:r>
          </w:p>
        </w:tc>
      </w:tr>
    </w:tbl>
    <w:p>
      <w:pPr>
        <w:pStyle w:val="Heading3"/>
      </w:pPr>
      <w:r>
        <w:rPr>
          <w:color w:val="1F3B63"/>
        </w:rPr>
        <w:t>3.1. Requisitos de seguridad y threat modeling</w:t>
      </w:r>
    </w:p>
    <w:p>
      <w:pPr>
        <w:pStyle w:val="ListBullet"/>
      </w:pPr>
      <w:r>
        <w:t>Todo proyecto define requisitos de seguridad en la etapa de requisitos [COMPLETAR: plantilla de requisitos].</w:t>
      </w:r>
    </w:p>
    <w:p>
      <w:pPr>
        <w:pStyle w:val="ListBullet"/>
      </w:pPr>
      <w:r>
        <w:t xml:space="preserve">Para los componentes que procesan pagos, créditos o datos personales se realiza </w:t>
      </w:r>
      <w:r>
        <w:rPr>
          <w:b/>
        </w:rPr>
        <w:t>threat modeling</w:t>
      </w:r>
      <w:r>
        <w:t xml:space="preserve"> (p. ej. STRIDE) con revisión del RSI.</w:t>
      </w:r>
    </w:p>
    <w:p>
      <w:pPr>
        <w:pStyle w:val="Heading3"/>
      </w:pPr>
      <w:r>
        <w:rPr>
          <w:color w:val="1F3B63"/>
        </w:rPr>
        <w:t>4. Análisis estático (SAST) y dinámico (DAST)</w:t>
      </w:r>
    </w:p>
    <w:p>
      <w:pPr>
        <w:pStyle w:val="ListBullet"/>
      </w:pPr>
      <w:r>
        <w:rPr>
          <w:b/>
        </w:rPr>
        <w:t>SAST:</w:t>
      </w:r>
      <w:r>
        <w:t xml:space="preserve"> análisis de código en cada integración/commit con herramienta [COMPLETAR: herramienta SAST, incluidas opciones open source].</w:t>
      </w:r>
    </w:p>
    <w:p>
      <w:pPr>
        <w:pStyle w:val="ListBullet"/>
      </w:pPr>
      <w:r>
        <w:rPr>
          <w:b/>
        </w:rPr>
        <w:t>DAST:</w:t>
      </w:r>
      <w:r>
        <w:t xml:space="preserve"> pruebas de seguridad sobre la aplicación en ejecución previas a producción.</w:t>
      </w:r>
    </w:p>
    <w:p>
      <w:pPr>
        <w:pStyle w:val="ListBullet"/>
      </w:pPr>
      <w:r>
        <w:rPr>
          <w:b/>
        </w:rPr>
        <w:t>Umbral de aceptación:</w:t>
      </w:r>
      <w:r>
        <w:t xml:space="preserve"> no se libera a producción con hallazgos críticos o altos [COMPLETAR: umbral].</w:t>
      </w:r>
    </w:p>
    <w:p>
      <w:pPr>
        <w:pStyle w:val="Heading3"/>
      </w:pPr>
      <w:r>
        <w:rPr>
          <w:color w:val="1F3B63"/>
        </w:rPr>
        <w:t>5. Gestión de dependencias y SBOM</w:t>
      </w:r>
    </w:p>
    <w:p>
      <w:pPr>
        <w:pStyle w:val="ListBullet"/>
      </w:pPr>
      <w:r>
        <w:t xml:space="preserve">Se mantiene un </w:t>
      </w:r>
      <w:r>
        <w:rPr>
          <w:b/>
        </w:rPr>
        <w:t>inventario de dependencias (SBOM)</w:t>
      </w:r>
      <w:r>
        <w:t xml:space="preserve"> por aplicación.</w:t>
      </w:r>
    </w:p>
    <w:p>
      <w:pPr>
        <w:pStyle w:val="ListBullet"/>
      </w:pPr>
      <w:r>
        <w:t>Se escanean las dependencias contra bases de datos de vulnerabilidades (CVE) en cada ciclo.</w:t>
      </w:r>
    </w:p>
    <w:p>
      <w:pPr>
        <w:pStyle w:val="ListBullet"/>
      </w:pPr>
      <w:r>
        <w:t>Las dependencias sin mantenimiento (abandonadas) se reemplazan o se registran como excepción con mitigación.</w:t>
      </w:r>
    </w:p>
    <w:p>
      <w:pPr>
        <w:pStyle w:val="Heading3"/>
      </w:pPr>
      <w:r>
        <w:rPr>
          <w:color w:val="1F3B63"/>
        </w:rPr>
        <w:t>6. Pruebas de seguridad previas a producción</w:t>
      </w:r>
    </w:p>
    <w:p>
      <w:pPr>
        <w:pStyle w:val="ListBullet"/>
      </w:pPr>
      <w:r>
        <w:t>Verificación de: autenticación, control de acceso, validación de entradas, gestión de sesiones, cifrado y registro de eventos.</w:t>
      </w:r>
    </w:p>
    <w:p>
      <w:pPr>
        <w:pStyle w:val="ListBullet"/>
      </w:pPr>
      <w:r>
        <w:t xml:space="preserve">Revisión de </w:t>
      </w:r>
      <w:r>
        <w:rPr>
          <w:b/>
        </w:rPr>
        <w:t>datos de prueba</w:t>
      </w:r>
      <w:r>
        <w:t>: solo datos enmascarados/anonimizados, nunca datos reales de clientes (PR-03).</w:t>
      </w:r>
    </w:p>
    <w:p>
      <w:pPr>
        <w:pStyle w:val="ListBullet"/>
      </w:pPr>
      <w:r>
        <w:t>Pruebas de integración segura con el core y el sistema de pagos.</w:t>
      </w:r>
    </w:p>
    <w:p>
      <w:pPr>
        <w:pStyle w:val="Heading3"/>
      </w:pPr>
      <w:r>
        <w:rPr>
          <w:color w:val="1F3B63"/>
        </w:rPr>
        <w:t>7. Separación de ambientes</w:t>
      </w:r>
    </w:p>
    <w:p>
      <w:pPr>
        <w:pStyle w:val="ListBullet"/>
      </w:pPr>
      <w:r>
        <w:rPr>
          <w:b/>
        </w:rPr>
        <w:t>Desarrollo, prueba (homologación) y producción</w:t>
      </w:r>
      <w:r>
        <w:t xml:space="preserve"> son ambientes separados, con redes y accesos distintos (A.8.31).</w:t>
      </w:r>
    </w:p>
    <w:p>
      <w:pPr>
        <w:pStyle w:val="ListBullet"/>
      </w:pPr>
      <w:r>
        <w:t>El acceso a producción es restringido y trazado (PR-01); los desarrolladores no modifican producción directamente.</w:t>
      </w:r>
    </w:p>
    <w:p>
      <w:pPr>
        <w:pStyle w:val="ListBullet"/>
      </w:pPr>
      <w:r>
        <w:t>Los datos de producción nunca se copian a ambientes de prueba sin enmascaramiento previo.</w:t>
      </w:r>
    </w:p>
    <w:p>
      <w:pPr>
        <w:pStyle w:val="Heading3"/>
      </w:pPr>
      <w:r>
        <w:rPr>
          <w:color w:val="1F3B63"/>
        </w:rPr>
        <w:t>8. Integración con el área de Sistemas y con proveedores</w:t>
      </w:r>
    </w:p>
    <w:p>
      <w:pPr>
        <w:pStyle w:val="ListBullet"/>
      </w:pPr>
      <w:r>
        <w:t xml:space="preserve">La División de Sistemas actúa como </w:t>
      </w:r>
      <w:r>
        <w:rPr>
          <w:b/>
        </w:rPr>
        <w:t>primera línea</w:t>
      </w:r>
      <w:r>
        <w:t>: implementa y verifica los controles.</w:t>
      </w:r>
    </w:p>
    <w:p>
      <w:pPr>
        <w:pStyle w:val="ListBullet"/>
      </w:pPr>
      <w:r>
        <w:t xml:space="preserve">Los </w:t>
      </w:r>
      <w:r>
        <w:rPr>
          <w:b/>
        </w:rPr>
        <w:t>proveedores de desarrollo</w:t>
      </w:r>
      <w:r>
        <w:t xml:space="preserve"> deben cumplir esta política; sus entregables se verifican con los mismos controles (SAST/DAST/SBOM) y las obligaciones se incorporan al contrato (PR-08).</w:t>
      </w:r>
    </w:p>
    <w:p>
      <w:pPr>
        <w:pStyle w:val="ListBullet"/>
      </w:pPr>
      <w:r>
        <w:t xml:space="preserve">El RSI realiza </w:t>
      </w:r>
      <w:r>
        <w:rPr>
          <w:b/>
        </w:rPr>
        <w:t>revisiones de seguridad</w:t>
      </w:r>
      <w:r>
        <w:t xml:space="preserve"> en los hitos del proyecto.</w:t>
      </w:r>
    </w:p>
    <w:p>
      <w:pPr>
        <w:pStyle w:val="Heading3"/>
      </w:pPr>
      <w:r>
        <w:rPr>
          <w:color w:val="1F3B63"/>
        </w:rPr>
        <w:t>9.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Sistemas</w:t>
            </w:r>
          </w:p>
        </w:tc>
        <w:tc>
          <w:tcPr>
            <w:tcW w:type="dxa" w:w="4824"/>
          </w:tcPr>
          <w:p>
            <w:r/>
            <w:r>
              <w:t>Aplicar los controles del ciclo; herramientas SAST/DAST; gestión del SBOM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Jefe de proyecto / dueño del producto</w:t>
            </w:r>
          </w:p>
        </w:tc>
        <w:tc>
          <w:tcPr>
            <w:tcW w:type="dxa" w:w="4824"/>
          </w:tcPr>
          <w:p>
            <w:r/>
            <w:r>
              <w:t>Incluir requisitos de seguridad en la planificación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Privacidad por diseño; EIPD en proyectos con datos personales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Revisar threat modeling y resultados de pruebas; aprobar la liberación desde lo funcional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Compras y Contrataciones</w:t>
            </w:r>
          </w:p>
        </w:tc>
        <w:tc>
          <w:tcPr>
            <w:tcW w:type="dxa" w:w="4824"/>
          </w:tcPr>
          <w:p>
            <w:r/>
            <w:r>
              <w:t>Incorporar estas obligaciones en los contratos con proveedores</w:t>
            </w:r>
          </w:p>
        </w:tc>
      </w:tr>
    </w:tbl>
    <w:p>
      <w:pPr>
        <w:pStyle w:val="Heading3"/>
      </w:pPr>
      <w:r>
        <w:rPr>
          <w:color w:val="1F3B63"/>
        </w:rPr>
        <w:t>10.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Comité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el apartado 4 completado. Adaptá al contenido institucional real del Banco.</w:t>
      </w:r>
    </w:p>
    <w:p>
      <w:r>
        <w:rPr>
          <w:b/>
        </w:rPr>
        <w:t>Desarrollo del Banco En Línea (ejemplo):</w:t>
      </w:r>
    </w:p>
    <w:p>
      <w:pPr>
        <w:pStyle w:val="ListBullet"/>
      </w:pPr>
      <w:r>
        <w:t xml:space="preserve">El proyecto de renovación del </w:t>
      </w:r>
      <w:r>
        <w:rPr>
          <w:b/>
        </w:rPr>
        <w:t>Banco En Línea</w:t>
      </w:r>
      <w:r>
        <w:t xml:space="preserve"> incorporó desde los requisitos: MFA para clientes en operaciones de alta sensibilidad, límites de sesión, y </w:t>
      </w:r>
      <w:r>
        <w:rPr>
          <w:b/>
        </w:rPr>
        <w:t>privacidad por diseño</w:t>
      </w:r>
      <w:r>
        <w:t xml:space="preserve"> (solo se muestran los datos mínimos necesarios en pantalla). El DPD participó en el diseño y se realizó una </w:t>
      </w:r>
      <w:r>
        <w:rPr>
          <w:b/>
        </w:rPr>
        <w:t>EIPD</w:t>
      </w:r>
      <w:r>
        <w:t xml:space="preserve"> por el tratamiento de datos personales.</w:t>
      </w:r>
    </w:p>
    <w:p>
      <w:pPr>
        <w:pStyle w:val="ListBullet"/>
      </w:pPr>
      <w:r>
        <w:t xml:space="preserve">En cada integración se ejecutó </w:t>
      </w:r>
      <w:r>
        <w:rPr>
          <w:b/>
        </w:rPr>
        <w:t>SAST</w:t>
      </w:r>
      <w:r>
        <w:t xml:space="preserve">; en el ambiente de homologación se realizó </w:t>
      </w:r>
      <w:r>
        <w:rPr>
          <w:b/>
        </w:rPr>
        <w:t>DAST</w:t>
      </w:r>
      <w:r>
        <w:t xml:space="preserve"> antes de la liberación. El </w:t>
      </w:r>
      <w:r>
        <w:rPr>
          <w:b/>
        </w:rPr>
        <w:t>SBOM</w:t>
      </w:r>
      <w:r>
        <w:t xml:space="preserve"> de las bibliotecas front-end detectó una dependencia con vulnerabilidad alta, que se actualizó antes de salir a producción.</w:t>
      </w:r>
    </w:p>
    <w:p>
      <w:r>
        <w:rPr>
          <w:b/>
        </w:rPr>
        <w:t>Integración con el sistema de pagos (ejemplo):</w:t>
      </w:r>
    </w:p>
    <w:p>
      <w:pPr>
        <w:pStyle w:val="ListBullet"/>
      </w:pPr>
      <w:r>
        <w:t xml:space="preserve">La nueva API de consulta de saldos para el </w:t>
      </w:r>
      <w:r>
        <w:rPr>
          <w:b/>
        </w:rPr>
        <w:t>sistema de pagos</w:t>
      </w:r>
      <w:r>
        <w:t xml:space="preserve"> se modeló con </w:t>
      </w:r>
      <w:r>
        <w:rPr>
          <w:b/>
        </w:rPr>
        <w:t>threat modeling</w:t>
      </w:r>
      <w:r>
        <w:t>; se identificó un riesgo de exposición excesiva en la respuesta de la API, que se corrigió en el diseño (devolver solo el dato mínimo). Se probó en ambiente separado y se liberó con umbral de aceptación sin hallazgos críticos.</w:t>
      </w:r>
    </w:p>
    <w:p>
      <w:r>
        <w:rPr>
          <w:b/>
        </w:rPr>
        <w:t>Proveedor de desarrollo (ejemplo):</w:t>
      </w:r>
    </w:p>
    <w:p>
      <w:pPr>
        <w:pStyle w:val="ListBullet"/>
      </w:pPr>
      <w:r>
        <w:t xml:space="preserve">El contrato con el proveedor del nuevo módulo de </w:t>
      </w:r>
      <w:r>
        <w:rPr>
          <w:b/>
        </w:rPr>
        <w:t>gestión de garantías</w:t>
      </w:r>
      <w:r>
        <w:t xml:space="preserve"> incorpora las cláusulas de PR-08: entrega de resultados de SAST, cumplimiento de esta política y derecho de auditoría. Los entregables se verificaron antes del pago del hito final.</w:t>
      </w:r>
    </w:p>
    <w:p>
      <w:r>
        <w:rPr>
          <w:b/>
        </w:rPr>
        <w:t>Documentos relacionados:</w:t>
      </w:r>
      <w:r>
        <w:t xml:space="preserve"> GV-01 (Política de Seguridad), PR-03 (Seguridad de Datos), PR-06 (Vulnerabilidades), PR-08 (Confidencialidad y Terceros), DE-01 (Monitoreo), URCDP-05 (EIPD).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