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PR-08 · Acuerdos de Confidencialidad y Cláusulas de Seguridad con Terceros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(GV.SC — Gestión de riesgos de la cadena de suministro) · Proteger (PR.PS — Procesos)</w:t>
      </w:r>
    </w:p>
    <w:p>
      <w:pPr>
        <w:ind w:left="432"/>
      </w:pPr>
      <w:r>
        <w:rPr>
          <w:i/>
          <w:color w:val="606060"/>
        </w:rPr>
        <w:t>**ISO/IEC 27001:** A.6.6 (Acuerdos de confidencialidad) · A.5.19-5.22 (Relaciones con proveedores)</w:t>
      </w:r>
    </w:p>
    <w:p>
      <w:pPr>
        <w:ind w:left="432"/>
      </w:pPr>
      <w:r>
        <w:rPr>
          <w:i/>
          <w:color w:val="606060"/>
        </w:rPr>
        <w:t>**BCU:** Circulares 2419 a 2422 (tercerizaciones) · Comunicación 2022/254 · RNRCSF art. 492</w:t>
      </w:r>
    </w:p>
    <w:p>
      <w:pPr>
        <w:ind w:left="432"/>
      </w:pPr>
      <w:r>
        <w:rPr>
          <w:i/>
          <w:color w:val="606060"/>
        </w:rPr>
        <w:t>**URCDP:** Ley 18.331 arts. 12 y 29 · Decreto 64/020 (responsabilidad del encargado de tratamiento)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Banco no hace todo solo: terceriza desarrollo de software, soporte de sistemas, custodia de documentos, seguridad, limpieza, servicios legales y hasta operaciones del sistema de pagos. Cada tercero con acceso a información del banco es una </w:t>
      </w:r>
      <w:r>
        <w:rPr>
          <w:b/>
        </w:rPr>
        <w:t>extensión de su superficie de riesgo</w:t>
      </w:r>
      <w:r>
        <w:t xml:space="preserve">. El BCU lo sabe y exige (Circulares 2419-2422) que toda tercerización relevante esté </w:t>
      </w:r>
      <w:r>
        <w:rPr>
          <w:b/>
        </w:rPr>
        <w:t>autorizada</w:t>
      </w:r>
      <w:r>
        <w:t xml:space="preserve">, con </w:t>
      </w:r>
      <w:r>
        <w:rPr>
          <w:b/>
        </w:rPr>
        <w:t>evaluación de riesgos</w:t>
      </w:r>
      <w:r>
        <w:t xml:space="preserve"> del proveedor y un </w:t>
      </w:r>
      <w:r>
        <w:rPr>
          <w:b/>
        </w:rPr>
        <w:t>contrato mínimo</w:t>
      </w:r>
      <w:r>
        <w:t xml:space="preserve"> con cláusulas de seguridad, resguardo de datos, auditoría y subcontratación. La URCDP, por su parte, responsabiliza al banco por el tratamiento de datos personales que hagan sus encargados (Decreto 64/020).</w:t>
      </w:r>
    </w:p>
    <w:p>
      <w:r>
        <w:t xml:space="preserve">Esta política estandariza dos instrumentos: el </w:t>
      </w:r>
      <w:r>
        <w:rPr>
          <w:b/>
        </w:rPr>
        <w:t>acuerdo de confidencialidad (NDA)</w:t>
      </w:r>
      <w:r>
        <w:t xml:space="preserve">, que firman funcionarios, contratistas y visitas; y las </w:t>
      </w:r>
      <w:r>
        <w:rPr>
          <w:b/>
        </w:rPr>
        <w:t>cláusulas contractuales de seguridad y protección de datos</w:t>
      </w:r>
      <w:r>
        <w:t xml:space="preserve">, que se incorporan a todo contrato con terceros que toquen información del banco. Además define la </w:t>
      </w:r>
      <w:r>
        <w:rPr>
          <w:b/>
        </w:rPr>
        <w:t>matriz de terceros y su criticidad</w:t>
      </w:r>
      <w:r>
        <w:t>, para saber a qué proveedores hay que auditar, con qué frecuencia y con qué profundidad.</w:t>
      </w:r>
    </w:p>
    <w:p>
      <w:r>
        <w:t>En el Banco, un proveedor puede ver información de crédito hipotecario, datos personales de clientes o configuraciones del core. Una fuga por tercero se lee ante el BCU y la URCDP como una falla del banco. Por eso estos acuerdos no son "trámites": son el control contractual que respalda todos los controles técnicos de PR-01 a PR-07.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GV.SC — gestión de la cadena de suministro y de terceros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A.6.6 acuerdos de confidencialidad; A.5.19 seguridad en las relaciones con proveedores; A.5.20 acuerdos con proveedores; A.5.21 gestión de la seguridad en la cadena de suministro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Circulares 2419-2422 (autorización, evaluación y contrato mínimo); Comunicación 2022/254; RNRCSF art. 492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arts. 12 y 29; Ley 19.670; Decreto 64/020 (cláusulas, responsabilidad del encargado, subcontratación)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Levantá la matriz de terceros</w:t>
      </w:r>
      <w:r>
        <w:t xml:space="preserve"> con Compras y Contrataciones y con los dueños de los servicios: quién presta qué, con qué acceso y qué criticidad.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el modelo de cláusulas aprobado por Servicios Jurídicos Notariales (Dr. Héctor Dotta).</w:t>
      </w:r>
    </w:p>
    <w:p>
      <w:pPr>
        <w:pStyle w:val="ListNumber"/>
      </w:pPr>
      <w:r>
        <w:rPr>
          <w:b/>
        </w:rPr>
        <w:t>Definí el proceso de evaluación de riesgos del proveedor</w:t>
      </w:r>
      <w:r>
        <w:t xml:space="preserve"> con el Jefe de Riesgos No Financieros y el Oficial de Cumplimiento (autorización del BCU cuando corresponda).</w:t>
      </w:r>
    </w:p>
    <w:p>
      <w:pPr>
        <w:pStyle w:val="ListNumber"/>
      </w:pPr>
      <w:r>
        <w:rPr>
          <w:b/>
        </w:rPr>
        <w:t>Coordiná con el DPD</w:t>
      </w:r>
      <w:r>
        <w:t xml:space="preserve"> las cláusulas de protección de datos personales (encargados, subencargados, ARCO, vulneraciones).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Acuerdos de Confidencialidad y Cláusulas de Seguridad con Terceros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Div. Servicios Jurídicos Notariales · Compras y Contrataciones · DPD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Regular contractualmente la </w:t>
      </w:r>
      <w:r>
        <w:rPr>
          <w:b/>
        </w:rPr>
        <w:t>confidencialidad y la seguridad de la información</w:t>
      </w:r>
      <w:r>
        <w:t xml:space="preserve"> que el Banco comparte con funcionarios, contratistas y terceros, de modo que los controles de PR-01 a PR-07 se extiendan a toda la cadena de suministro y se pueda demostrar cumplimiento ante el BCU y la URCDP.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proveedores, contratistas, consultores y personas ajenas al Banco que accedan, procesen o custodien información del banco —incluidos los del sistema de pagos, desarrollo de software, soporte, custodia y limpieza— y a todos los funcionarios del Banco]. Aplica a los NDA y a las cláusulas de todo contrato nuevo o renovado.</w:t>
      </w:r>
    </w:p>
    <w:p>
      <w:pPr>
        <w:pStyle w:val="Heading3"/>
      </w:pPr>
      <w:r>
        <w:rPr>
          <w:color w:val="1F3B63"/>
        </w:rPr>
        <w:t>3. Matriz de terceros y criticidad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Tercero / servicio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Acceso a información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Criticidad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Evaluación de riesgo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Auditoría</w:t>
            </w:r>
          </w:p>
        </w:tc>
      </w:tr>
      <w:tr>
        <w:tc>
          <w:tcPr>
            <w:tcW w:type="dxa" w:w="1930"/>
          </w:tcPr>
          <w:p>
            <w:r/>
            <w:r>
              <w:t>[COMPLETAR: proveedor del core]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[Alta/Media/Baja]</w:t>
            </w:r>
          </w:p>
        </w:tc>
        <w:tc>
          <w:tcPr>
            <w:tcW w:type="dxa" w:w="1930"/>
          </w:tcPr>
          <w:p>
            <w:r/>
            <w:r>
              <w:t>[COMPLETAR: fecha/resultado]</w:t>
            </w:r>
          </w:p>
        </w:tc>
        <w:tc>
          <w:tcPr>
            <w:tcW w:type="dxa" w:w="1930"/>
          </w:tcPr>
          <w:p>
            <w:r/>
            <w:r>
              <w:t>[Frecuencia]</w:t>
            </w:r>
          </w:p>
        </w:tc>
      </w:tr>
      <w:tr>
        <w:tc>
          <w:tcPr>
            <w:tcW w:type="dxa" w:w="1930"/>
          </w:tcPr>
          <w:p>
            <w:r/>
            <w:r>
              <w:t>[COMPLETAR: soporte del sistema de pagos]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[Alta/Media/Baja]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[Frecuencia]</w:t>
            </w:r>
          </w:p>
        </w:tc>
      </w:tr>
      <w:tr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[Alta/Media/Baja]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[Frecuencia]</w:t>
            </w:r>
          </w:p>
        </w:tc>
      </w:tr>
    </w:tbl>
    <w:p>
      <w:pPr>
        <w:pStyle w:val="ListBullet"/>
      </w:pPr>
      <w:r>
        <w:t>La matriz se actualiza al menos anualmente y ante cambios de contrato.</w:t>
      </w:r>
    </w:p>
    <w:p>
      <w:pPr>
        <w:pStyle w:val="ListBullet"/>
      </w:pPr>
      <w:r>
        <w:t xml:space="preserve">Los terceros críticos se re-evalúan con la </w:t>
      </w:r>
      <w:r>
        <w:rPr>
          <w:b/>
        </w:rPr>
        <w:t>Comunicación 2022/254 del BCU</w:t>
      </w:r>
      <w:r>
        <w:t xml:space="preserve"> y se informa al BCU las tercerizaciones que lo requieran (autorización previa, expresa si es en/desde el exterior).</w:t>
      </w:r>
    </w:p>
    <w:p>
      <w:pPr>
        <w:pStyle w:val="Heading3"/>
      </w:pPr>
      <w:r>
        <w:rPr>
          <w:color w:val="1F3B63"/>
        </w:rPr>
        <w:t>4. Acuerdo de confidencialidad (NDA)</w:t>
      </w:r>
    </w:p>
    <w:p>
      <w:pPr>
        <w:pStyle w:val="ListBullet"/>
      </w:pPr>
      <w:r>
        <w:rPr>
          <w:b/>
        </w:rPr>
        <w:t>Funcionarios:</w:t>
      </w:r>
      <w:r>
        <w:t xml:space="preserve"> firman NDA al ingreso (antes del alta de accesos) y se reafirma en la inducción de seguridad (PR-02).</w:t>
      </w:r>
    </w:p>
    <w:p>
      <w:pPr>
        <w:pStyle w:val="ListBullet"/>
      </w:pPr>
      <w:r>
        <w:rPr>
          <w:b/>
        </w:rPr>
        <w:t>Contratistas y pasantes:</w:t>
      </w:r>
      <w:r>
        <w:t xml:space="preserve"> firman NDA antes de comenzar actividades.</w:t>
      </w:r>
    </w:p>
    <w:p>
      <w:pPr>
        <w:pStyle w:val="ListBullet"/>
      </w:pPr>
      <w:r>
        <w:rPr>
          <w:b/>
        </w:rPr>
        <w:t>Visitas y proveedores ocasionales:</w:t>
      </w:r>
      <w:r>
        <w:t xml:space="preserve"> firman NDA o cláusula equivalente al ingresar a zonas restringidas.</w:t>
      </w:r>
    </w:p>
    <w:p>
      <w:pPr>
        <w:pStyle w:val="ListBullet"/>
      </w:pPr>
      <w:r>
        <w:t>El NDA incluye: obligación de confidencialidad indefinida, secreto bancario, prohibición de copia y divulgación, devolución/eliminación de información al cese y consecuencias del incumplimiento.</w:t>
      </w:r>
    </w:p>
    <w:p>
      <w:pPr>
        <w:pStyle w:val="Heading3"/>
      </w:pPr>
      <w:r>
        <w:rPr>
          <w:color w:val="1F3B63"/>
        </w:rPr>
        <w:t>5. Cláusulas contractuales con terceros (modelo)</w:t>
      </w:r>
    </w:p>
    <w:p>
      <w:r>
        <w:t>Todo contrato con tercero que trate información del Banco incluye como mínimo: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Cláusula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 mínimo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Confidencialidad</w:t>
            </w:r>
          </w:p>
        </w:tc>
        <w:tc>
          <w:tcPr>
            <w:tcW w:type="dxa" w:w="4824"/>
          </w:tcPr>
          <w:p>
            <w:r/>
            <w:r>
              <w:t>Deber de confidencialidad, secreto bancario y protección de datos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Seguridad de la información</w:t>
            </w:r>
          </w:p>
        </w:tc>
        <w:tc>
          <w:tcPr>
            <w:tcW w:type="dxa" w:w="4824"/>
          </w:tcPr>
          <w:p>
            <w:r/>
            <w:r>
              <w:t>Cumplir las políticas del Banco (PR-01…PR-07) y medidas técnicas/organizativas adecuadas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Tratamiento de datos personales</w:t>
            </w:r>
          </w:p>
        </w:tc>
        <w:tc>
          <w:tcPr>
            <w:tcW w:type="dxa" w:w="4824"/>
          </w:tcPr>
          <w:p>
            <w:r/>
            <w:r>
              <w:t xml:space="preserve">El tercero actúa como </w:t>
            </w:r>
            <w:r>
              <w:rPr>
                <w:b/>
              </w:rPr>
              <w:t>encargado de tratamiento</w:t>
            </w:r>
            <w:r>
              <w:t>; finalidad, instrucciones del Banco (responsable), deberes del art. 12/29 URCDP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Notificación de incidentes</w:t>
            </w:r>
          </w:p>
        </w:tc>
        <w:tc>
          <w:tcPr>
            <w:tcW w:type="dxa" w:w="4824"/>
          </w:tcPr>
          <w:p>
            <w:r/>
            <w:r>
              <w:t>Notificación inmediata (máx. 24-48 h) al Banco de cualquier incidente o vulneración; colaboración en la notificación a la URCDP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Derecho de auditoría</w:t>
            </w:r>
          </w:p>
        </w:tc>
        <w:tc>
          <w:tcPr>
            <w:tcW w:type="dxa" w:w="4824"/>
          </w:tcPr>
          <w:p>
            <w:r/>
            <w:r>
              <w:t>El Banco puede auditar los controles del tercero (o contratar auditoría)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Subcontratación</w:t>
            </w:r>
          </w:p>
        </w:tc>
        <w:tc>
          <w:tcPr>
            <w:tcW w:type="dxa" w:w="4824"/>
          </w:tcPr>
          <w:p>
            <w:r/>
            <w:r>
              <w:t>Autorización previa del Banco para subcontratar; responsabilidad solidaria; cumplimiento de las mismas obligaciones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Resguardo y devolución de datos</w:t>
            </w:r>
          </w:p>
        </w:tc>
        <w:tc>
          <w:tcPr>
            <w:tcW w:type="dxa" w:w="4824"/>
          </w:tcPr>
          <w:p>
            <w:r/>
            <w:r>
              <w:t>Resguardo según art. 492 RNRCSF; devolución y/o borrado seguro al término del contrato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Disposiciones de extinción</w:t>
            </w:r>
          </w:p>
        </w:tc>
        <w:tc>
          <w:tcPr>
            <w:tcW w:type="dxa" w:w="4824"/>
          </w:tcPr>
          <w:p>
            <w:r/>
            <w:r>
              <w:t>Devolución de información, certificación de borrado, cese de accesos (en coordinación con PR-01)</w:t>
            </w:r>
          </w:p>
        </w:tc>
      </w:tr>
    </w:tbl>
    <w:p>
      <w:pPr>
        <w:pStyle w:val="Heading3"/>
      </w:pPr>
      <w:r>
        <w:rPr>
          <w:color w:val="1F3B63"/>
        </w:rPr>
        <w:t>5.1. Evaluación de riesgos previa al contrato</w:t>
      </w:r>
    </w:p>
    <w:p>
      <w:r>
        <w:t xml:space="preserve">Antes de la contratación: se evalúa la </w:t>
      </w:r>
      <w:r>
        <w:rPr>
          <w:b/>
        </w:rPr>
        <w:t>solvencia técnica, legal y de seguridad</w:t>
      </w:r>
      <w:r>
        <w:t xml:space="preserve"> del proveedor (cuestionario de seguridad, referencias, incidentes previos). Los terceros críticos requieren informe de riesgo aprobado por el RSI y el Oficial de Cumplimiento.</w:t>
      </w:r>
    </w:p>
    <w:p>
      <w:pPr>
        <w:pStyle w:val="Heading3"/>
      </w:pPr>
      <w:r>
        <w:rPr>
          <w:color w:val="1F3B63"/>
        </w:rPr>
        <w:t>6.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Compras y Contrataciones</w:t>
            </w:r>
          </w:p>
        </w:tc>
        <w:tc>
          <w:tcPr>
            <w:tcW w:type="dxa" w:w="4824"/>
          </w:tcPr>
          <w:p>
            <w:r/>
            <w:r>
              <w:t>Incorporar las cláusulas tipo a todos los contratos; mantener la matriz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Servicios Jurídicos Notariales</w:t>
            </w:r>
          </w:p>
        </w:tc>
        <w:tc>
          <w:tcPr>
            <w:tcW w:type="dxa" w:w="4824"/>
          </w:tcPr>
          <w:p>
            <w:r/>
            <w:r>
              <w:t>Redacción y revisión legal de NDA y cláusulas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servicios</w:t>
            </w:r>
          </w:p>
        </w:tc>
        <w:tc>
          <w:tcPr>
            <w:tcW w:type="dxa" w:w="4824"/>
          </w:tcPr>
          <w:p>
            <w:r/>
            <w:r>
              <w:t>Identificar terceros, vigilar su desempeño y accesos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Evaluación de riesgos de seguridad, auditorías a terceros y seguimiento de incidentes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Cláusulas de datos personales y subencargados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Oficial de Cumplimiento</w:t>
            </w:r>
          </w:p>
        </w:tc>
        <w:tc>
          <w:tcPr>
            <w:tcW w:type="dxa" w:w="4824"/>
          </w:tcPr>
          <w:p>
            <w:r/>
            <w:r>
              <w:t>Coordinación con el BCU por tercerizaciones que requieren autorización</w:t>
            </w:r>
          </w:p>
        </w:tc>
      </w:tr>
    </w:tbl>
    <w:p>
      <w:pPr>
        <w:pStyle w:val="Heading3"/>
      </w:pPr>
      <w:r>
        <w:rPr>
          <w:color w:val="1F3B63"/>
        </w:rP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Matriz de terceros (ejemplo):</w:t>
      </w:r>
    </w:p>
    <w:p>
      <w:pPr>
        <w:pStyle w:val="ListBullet"/>
      </w:pPr>
      <w:r>
        <w:rPr>
          <w:b/>
        </w:rPr>
        <w:t>Proveedor de mantenimiento del core bancario:</w:t>
      </w:r>
      <w:r>
        <w:t xml:space="preserve"> acceso remoto con MFA al ambiente de soporte, clasificado </w:t>
      </w:r>
      <w:r>
        <w:rPr>
          <w:b/>
        </w:rPr>
        <w:t>Alta criticidad</w:t>
      </w:r>
      <w:r>
        <w:t>; evaluación de riesgos anual y auditoría de seguridad cada 2 años.</w:t>
      </w:r>
    </w:p>
    <w:p>
      <w:pPr>
        <w:pStyle w:val="ListBullet"/>
      </w:pPr>
      <w:r>
        <w:rPr>
          <w:b/>
        </w:rPr>
        <w:t>Proveedor de infraestructura del datacenter alternativo:</w:t>
      </w:r>
      <w:r>
        <w:t xml:space="preserve"> custodia de respaldos y servidores, </w:t>
      </w:r>
      <w:r>
        <w:rPr>
          <w:b/>
        </w:rPr>
        <w:t>Alta criticidad</w:t>
      </w:r>
      <w:r>
        <w:t xml:space="preserve">; se verifica la </w:t>
      </w:r>
      <w:r>
        <w:rPr>
          <w:b/>
        </w:rPr>
        <w:t>separación geográfica</w:t>
      </w:r>
      <w:r>
        <w:t xml:space="preserve"> exigida por el art. 492 RNRCSF.</w:t>
      </w:r>
    </w:p>
    <w:p>
      <w:pPr>
        <w:pStyle w:val="ListBullet"/>
      </w:pPr>
      <w:r>
        <w:rPr>
          <w:b/>
        </w:rPr>
        <w:t>Empresa de custodia de documentos y destrucción:</w:t>
      </w:r>
      <w:r>
        <w:t xml:space="preserve"> maneja expedientes "Confidencial" y "Secreto"; contrato con cláusulas de NDA, devolución y certificación de destrucción.</w:t>
      </w:r>
    </w:p>
    <w:p>
      <w:r>
        <w:rPr>
          <w:b/>
        </w:rPr>
        <w:t>Cláusulas (ejemplo):</w:t>
      </w:r>
    </w:p>
    <w:p>
      <w:pPr>
        <w:pStyle w:val="ListBullet"/>
      </w:pPr>
      <w:r>
        <w:t xml:space="preserve">El contrato de soporte del </w:t>
      </w:r>
      <w:r>
        <w:rPr>
          <w:b/>
        </w:rPr>
        <w:t>sistema de pagos</w:t>
      </w:r>
      <w:r>
        <w:t xml:space="preserve"> incluye: notificación de incidentes en </w:t>
      </w:r>
      <w:r>
        <w:rPr>
          <w:b/>
        </w:rPr>
        <w:t>máx. 24 h</w:t>
      </w:r>
      <w:r>
        <w:t>, derecho de auditoría del Banco, prohibición de subcontratar sin autorización y borrado certificado de la información al término del contrato.</w:t>
      </w:r>
    </w:p>
    <w:p>
      <w:pPr>
        <w:pStyle w:val="ListBullet"/>
      </w:pPr>
      <w:r>
        <w:t xml:space="preserve">El contrato con el proveedor del </w:t>
      </w:r>
      <w:r>
        <w:rPr>
          <w:b/>
        </w:rPr>
        <w:t>call center / atención</w:t>
      </w:r>
      <w:r>
        <w:t xml:space="preserve"> (si aplica) incorpora las cláusulas de </w:t>
      </w:r>
      <w:r>
        <w:rPr>
          <w:b/>
        </w:rPr>
        <w:t>encargado de tratamiento</w:t>
      </w:r>
      <w:r>
        <w:t xml:space="preserve"> del Decreto 64/020: instrucciones del Banco como responsable, deber de responder derechos ARCO a través del Banco y notificación de vulneraciones.</w:t>
      </w:r>
    </w:p>
    <w:p>
      <w:r>
        <w:rPr>
          <w:b/>
        </w:rPr>
        <w:t>NDA de funcionarios (ejemplo):</w:t>
      </w:r>
    </w:p>
    <w:p>
      <w:pPr>
        <w:pStyle w:val="ListBullet"/>
      </w:pPr>
      <w:r>
        <w:t>En el ingreso, cada funcionario firma el NDA antes del alta de sus accesos (se coordina con PR-01); los contratistas de mantenimiento firman NDA en la recepción de cada ingreso a zonas restringidas, junto con el registro de visita (PR-04).</w:t>
      </w:r>
    </w:p>
    <w:p>
      <w:r>
        <w:rPr>
          <w:b/>
        </w:rPr>
        <w:t>Documentos relacionados:</w:t>
      </w:r>
      <w:r>
        <w:t xml:space="preserve"> GV-01 (Política de Seguridad), GV-05 (Riesgos de la cadena de suministro), PR-01 (Control de Acceso), PR-04 (Seguridad Física), PR-05 (Respaldo), PR-07 (Desarrollo Seguro), URCDP-01 (Seguridad de Datos Personales), RS-02 (Notificación de Incidentes).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