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DE-01 · Política de Monitoreo y Registro de Eventos del Banco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Detectar (DE.CM — Monitoreo continuo)</w:t>
      </w:r>
    </w:p>
    <w:p>
      <w:pPr>
        <w:ind w:left="432"/>
      </w:pPr>
      <w:r>
        <w:rPr>
          <w:i/>
          <w:color w:val="606060"/>
        </w:rPr>
        <w:t>**ISO/IEC 27001:** A.8.15 (Registro de eventos) · A.8.16 (Monitoreo de actividades)</w:t>
      </w:r>
    </w:p>
    <w:p>
      <w:pPr>
        <w:ind w:left="432"/>
      </w:pPr>
      <w:r>
        <w:rPr>
          <w:i/>
          <w:color w:val="606060"/>
        </w:rPr>
        <w:t>**BCU:** Circular 2280 (sistema de pagos) · RNRCSF art. 492 (resguardo de datos)</w:t>
      </w:r>
    </w:p>
    <w:p>
      <w:pPr>
        <w:ind w:left="432"/>
      </w:pPr>
      <w:r>
        <w:rPr>
          <w:i/>
          <w:color w:val="606060"/>
        </w:rPr>
        <w:t>**URCDP:** Ley 18.331 art. 10 (medidas de seguridad) · Decreto 64/020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La </w:t>
      </w:r>
      <w:r>
        <w:rPr>
          <w:b/>
        </w:rPr>
        <w:t>Política de Monitoreo y Registro de Eventos</w:t>
      </w:r>
      <w:r>
        <w:t xml:space="preserve"> define qué eventos del entorno tecnológico del Banco se registran, cómo se centralizan, cuánto tiempo se retienen, quién puede acceder a ellos y cómo se protege su integridad. Es la base de la función </w:t>
      </w:r>
      <w:r>
        <w:rPr>
          <w:b/>
        </w:rPr>
        <w:t>Detectar</w:t>
      </w:r>
      <w:r>
        <w:t xml:space="preserve"> del MCU 5.0: sin registros confiables no se pueden detectar a tiempo los incidentes, ni investigarlos, ni demostrar ante el BCU, Agesic o la URCDP que los controles funcionan.</w:t>
      </w:r>
    </w:p>
    <w:p>
      <w:r>
        <w:t xml:space="preserve">En un banco que opera sistema de pagos y administra datos personales de cientos de miles de personas, los registros no son un costo: son </w:t>
      </w:r>
      <w:r>
        <w:rPr>
          <w:b/>
        </w:rPr>
        <w:t>evidencia</w:t>
      </w:r>
      <w:r>
        <w:t xml:space="preserve"> del cumplimiento normativo y la materia prima del análisis forense ante una intrusión o un fraude. La Circular 2280 del BCU (sistema de pagos) y la RNRCSF (art. 492, resguardo de datos) exigen que la información pueda reconstruirse, y eso solo es posible si los registros son completos, íntegros y resguardados de forma que no se pierdan por el mismo evento que daña a los sistemas de producción.</w:t>
      </w:r>
    </w:p>
    <w:p>
      <w:r>
        <w:t>Por último, esta política protege también a los funcionarios y clientes: el monitoreo se realiza con fines institucionales legítimos, se comunica, y el acceso a los registros se audita para evitar su uso indebido.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Norma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exige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3216"/>
          </w:tcPr>
          <w:p>
            <w:r/>
            <w:r>
              <w:t>DE.CM (Monitoreo continuo)</w:t>
            </w:r>
          </w:p>
        </w:tc>
        <w:tc>
          <w:tcPr>
            <w:tcW w:type="dxa" w:w="3216"/>
          </w:tcPr>
          <w:p>
            <w:r/>
            <w:r>
              <w:t>Monitoreo continuo del entorno y la red para detectar anomalías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ISO/IEC 27001:2022</w:t>
            </w:r>
          </w:p>
        </w:tc>
        <w:tc>
          <w:tcPr>
            <w:tcW w:type="dxa" w:w="3216"/>
          </w:tcPr>
          <w:p>
            <w:r/>
            <w:r>
              <w:t>A.8.15 / A.8.16</w:t>
            </w:r>
          </w:p>
        </w:tc>
        <w:tc>
          <w:tcPr>
            <w:tcW w:type="dxa" w:w="3216"/>
          </w:tcPr>
          <w:p>
            <w:r/>
            <w:r>
              <w:t>Registrar eventos relevantes y monitorear las actividades para detectar incidentes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3216"/>
          </w:tcPr>
          <w:p>
            <w:r/>
            <w:r>
              <w:t>Circular 2280 · RNRCSF art. 492</w:t>
            </w:r>
          </w:p>
        </w:tc>
        <w:tc>
          <w:tcPr>
            <w:tcW w:type="dxa" w:w="3216"/>
          </w:tcPr>
          <w:p>
            <w:r/>
            <w:r>
              <w:t>Resguardo de datos y registros del sistema de pagos; reconstrucción de operaciones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3216"/>
          </w:tcPr>
          <w:p>
            <w:r/>
            <w:r>
              <w:t>Ley 18.331 art. 10 · Decreto 64/020</w:t>
            </w:r>
          </w:p>
        </w:tc>
        <w:tc>
          <w:tcPr>
            <w:tcW w:type="dxa" w:w="3216"/>
          </w:tcPr>
          <w:p>
            <w:r/>
            <w:r>
              <w:t>Medidas de seguridad necesarias para evitar adulteración, pérdida o acceso no autorizado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Definí el inventario de fuentes de eventos</w:t>
      </w:r>
      <w:r>
        <w:t xml:space="preserve"> con el Jefe de Departamento Producción (Ing. Daniel Herrera) y Sistemas (Lic. Cristian Palo): qué servidores, equipos de red, aplicaciones, bases de datos y endpoints generarán registros.</w:t>
      </w:r>
    </w:p>
    <w:p>
      <w:pPr>
        <w:pStyle w:val="ListNumber"/>
      </w:pPr>
      <w:r>
        <w:rPr>
          <w:b/>
        </w:rPr>
        <w:t>Acordá los tiempos de retención</w:t>
      </w:r>
      <w:r>
        <w:t xml:space="preserve"> con Servicios Jurídicos Notariales y el DPD, respetando los plazos legales y los mínimos de auditoría (en general no menos de 6 a 12 meses para registros de seguridad, y los plazos contables/fiscales para registros de transacciones).</w:t>
      </w:r>
    </w:p>
    <w:p>
      <w:pPr>
        <w:pStyle w:val="ListNumber"/>
      </w:pPr>
      <w:r>
        <w:rPr>
          <w:b/>
        </w:rPr>
        <w:t>Definí la plataforma SIEM</w:t>
      </w:r>
      <w:r>
        <w:t xml:space="preserve"> con la División TI: qué herramientas existen hoy y cuál se contratará para centralizar, correlacionar y alertar.</w:t>
      </w:r>
    </w:p>
    <w:p>
      <w:pPr>
        <w:pStyle w:val="ListNumber"/>
      </w:pPr>
      <w:r>
        <w:rPr>
          <w:b/>
        </w:rPr>
        <w:t>Establecé la lista de acceso a logs</w:t>
      </w:r>
      <w:r>
        <w:t xml:space="preserve"> (quién lee, quién exporta, quién elimina) y aprobala con el RSI y el Comité de Seguridad.</w:t>
      </w:r>
    </w:p>
    <w:p>
      <w:pPr>
        <w:pStyle w:val="ListNumber"/>
      </w:pPr>
      <w:r>
        <w:rPr>
          <w:b/>
        </w:rPr>
        <w:t>Pautá la sincronización de relojes</w:t>
      </w:r>
      <w:r>
        <w:t xml:space="preserve"> (NTP) y el mecanismo de integridad (firma de hash, WORM, registro de autoridad de cambios).</w:t>
      </w:r>
    </w:p>
    <w:p>
      <w:pPr>
        <w:pStyle w:val="ListNumber"/>
      </w:pPr>
      <w:r>
        <w:t xml:space="preserve">Consultá al </w:t>
      </w:r>
      <w:r>
        <w:rPr>
          <w:b/>
        </w:rPr>
        <w:t>RSI</w:t>
      </w:r>
      <w:r>
        <w:t xml:space="preserve"> (Riesgos No Financieros) y al </w:t>
      </w:r>
      <w:r>
        <w:rPr>
          <w:b/>
        </w:rPr>
        <w:t>Oficial de Cumplimiento</w:t>
      </w:r>
      <w:r>
        <w:t xml:space="preserve"> antes de fijar plazos mínimos de retención para operaciones de pago.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DE-01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Política de Monitoreo y Registro de Eventos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Directorio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>Garantizar que los eventos relevantes de los sistemas del Banco se registren de forma completa, íntegra y centralizada, de modo de detectar incidentes a tiempo, investigarlos y demostrar cumplimiento normativo.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[COMPLETAR: todos los sistemas de la División TI, sucursales, Banco En Línea, sistema de pagos, base de datos de clientes, y los servicios tecnológicos tercerizados]. Incluye eventos de seguridad, operación y transacciones.</w:t>
      </w:r>
    </w:p>
    <w:p>
      <w:pPr>
        <w:pStyle w:val="Heading3"/>
      </w:pPr>
      <w:r>
        <w:rPr>
          <w:color w:val="1F3B63"/>
        </w:rPr>
        <w:t>3. Fuentes de registros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Fuente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Ejemplos de eventos a registrar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Servidores</w:t>
            </w:r>
          </w:p>
        </w:tc>
        <w:tc>
          <w:tcPr>
            <w:tcW w:type="dxa" w:w="3216"/>
          </w:tcPr>
          <w:p>
            <w:r/>
            <w:r>
              <w:t>Arranques, apagados, cambios de configuración, instalación de software, errores de sistema</w:t>
            </w:r>
          </w:p>
        </w:tc>
        <w:tc>
          <w:tcPr>
            <w:tcW w:type="dxa" w:w="3216"/>
          </w:tcPr>
          <w:p>
            <w:r/>
            <w:r>
              <w:t>Div. TI / Producción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Red</w:t>
            </w:r>
          </w:p>
        </w:tc>
        <w:tc>
          <w:tcPr>
            <w:tcW w:type="dxa" w:w="3216"/>
          </w:tcPr>
          <w:p>
            <w:r/>
            <w:r>
              <w:t>Flujos de red, conexiones bloqueadas, cambios en firewalls y routers</w:t>
            </w:r>
          </w:p>
        </w:tc>
        <w:tc>
          <w:tcPr>
            <w:tcW w:type="dxa" w:w="3216"/>
          </w:tcPr>
          <w:p>
            <w:r/>
            <w:r>
              <w:t>Div. TI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Aplicaciones</w:t>
            </w:r>
          </w:p>
        </w:tc>
        <w:tc>
          <w:tcPr>
            <w:tcW w:type="dxa" w:w="3216"/>
          </w:tcPr>
          <w:p>
            <w:r/>
            <w:r>
              <w:t>[COMPLETAR: Banco En Línea, core bancario, sistema de pagos]: autenticaciones, transacciones, errores de aplicación</w:t>
            </w:r>
          </w:p>
        </w:tc>
        <w:tc>
          <w:tcPr>
            <w:tcW w:type="dxa" w:w="3216"/>
          </w:tcPr>
          <w:p>
            <w:r/>
            <w:r>
              <w:t>Div. TI / Sistemas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Base de datos</w:t>
            </w:r>
          </w:p>
        </w:tc>
        <w:tc>
          <w:tcPr>
            <w:tcW w:type="dxa" w:w="3216"/>
          </w:tcPr>
          <w:p>
            <w:r/>
            <w:r>
              <w:t>Altas/bajas/modificaciones de registros, accesos administrativos, intentos fallidos</w:t>
            </w:r>
          </w:p>
        </w:tc>
        <w:tc>
          <w:tcPr>
            <w:tcW w:type="dxa" w:w="3216"/>
          </w:tcPr>
          <w:p>
            <w:r/>
            <w:r>
              <w:t>Div. TI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Endpoints</w:t>
            </w:r>
          </w:p>
        </w:tc>
        <w:tc>
          <w:tcPr>
            <w:tcW w:type="dxa" w:w="3216"/>
          </w:tcPr>
          <w:p>
            <w:r/>
            <w:r>
              <w:t>Inicios de sesión, procesos, dispositivos conectados, detecciones de antivirus/EDR</w:t>
            </w:r>
          </w:p>
        </w:tc>
        <w:tc>
          <w:tcPr>
            <w:tcW w:type="dxa" w:w="3216"/>
          </w:tcPr>
          <w:p>
            <w:r/>
            <w:r>
              <w:t>Div. TI / Soporte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Accesos (IAM)</w:t>
            </w:r>
          </w:p>
        </w:tc>
        <w:tc>
          <w:tcPr>
            <w:tcW w:type="dxa" w:w="3216"/>
          </w:tcPr>
          <w:p>
            <w:r/>
            <w:r>
              <w:t>[COMPLETAR: inicios de sesión exitosos y fallidos, cambios de privilegios, bloqueos de cuenta]</w:t>
            </w:r>
          </w:p>
        </w:tc>
        <w:tc>
          <w:tcPr>
            <w:tcW w:type="dxa" w:w="3216"/>
          </w:tcPr>
          <w:p>
            <w:r/>
            <w:r>
              <w:t>RSI + Div. TI</w:t>
            </w:r>
          </w:p>
        </w:tc>
      </w:tr>
    </w:tbl>
    <w:p>
      <w:pPr>
        <w:pStyle w:val="Heading3"/>
      </w:pPr>
      <w:r>
        <w:rPr>
          <w:color w:val="1F3B63"/>
        </w:rPr>
        <w:t>4. Centralización y SIEM</w:t>
      </w:r>
    </w:p>
    <w:p>
      <w:r>
        <w:t>[COMPLETAR: herramienta SIEM (ej. Wazuh, Splunk, Elastic, ArcSight)], flujo de envío de logs, filtros de eventos, y retención en el concentrador. Todo evento de seguridad se envía al SIEM en [COMPLETAR: tiempo máximo, ej. 5 minutos] y se correlaciona con las reglas de DE-02.</w:t>
      </w:r>
    </w:p>
    <w:p>
      <w:pPr>
        <w:pStyle w:val="Heading3"/>
      </w:pPr>
      <w:r>
        <w:rPr>
          <w:color w:val="1F3B63"/>
        </w:rPr>
        <w:t>5. Retención de registros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Tipo de registro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Retención mínima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Fundamento</w:t>
            </w:r>
          </w:p>
        </w:tc>
      </w:tr>
      <w:tr>
        <w:tc>
          <w:tcPr>
            <w:tcW w:type="dxa" w:w="3216"/>
          </w:tcPr>
          <w:p>
            <w:r/>
            <w:r>
              <w:t>Eventos de seguridad</w:t>
            </w:r>
          </w:p>
        </w:tc>
        <w:tc>
          <w:tcPr>
            <w:tcW w:type="dxa" w:w="3216"/>
          </w:tcPr>
          <w:p>
            <w:r/>
            <w:r>
              <w:t>[COMPLETAR: 12 meses]</w:t>
            </w:r>
          </w:p>
        </w:tc>
        <w:tc>
          <w:tcPr>
            <w:tcW w:type="dxa" w:w="3216"/>
          </w:tcPr>
          <w:p>
            <w:r/>
            <w:r>
              <w:t>Investigación y auditoría</w:t>
            </w:r>
          </w:p>
        </w:tc>
      </w:tr>
      <w:tr>
        <w:tc>
          <w:tcPr>
            <w:tcW w:type="dxa" w:w="3216"/>
          </w:tcPr>
          <w:p>
            <w:r/>
            <w:r>
              <w:t>Operaciones y transacciones</w:t>
            </w:r>
          </w:p>
        </w:tc>
        <w:tc>
          <w:tcPr>
            <w:tcW w:type="dxa" w:w="3216"/>
          </w:tcPr>
          <w:p>
            <w:r/>
            <w:r>
              <w:t>[COMPLETAR: según normativa BCU y contable]</w:t>
            </w:r>
          </w:p>
        </w:tc>
        <w:tc>
          <w:tcPr>
            <w:tcW w:type="dxa" w:w="3216"/>
          </w:tcPr>
          <w:p>
            <w:r/>
            <w:r>
              <w:t>Reconstrucción de operaciones</w:t>
            </w:r>
          </w:p>
        </w:tc>
      </w:tr>
      <w:tr>
        <w:tc>
          <w:tcPr>
            <w:tcW w:type="dxa" w:w="3216"/>
          </w:tcPr>
          <w:p>
            <w:r/>
            <w:r>
              <w:t>Accesos y autenticaciones</w:t>
            </w:r>
          </w:p>
        </w:tc>
        <w:tc>
          <w:tcPr>
            <w:tcW w:type="dxa" w:w="3216"/>
          </w:tcPr>
          <w:p>
            <w:r/>
            <w:r>
              <w:t>[COMPLETAR: 12 meses]</w:t>
            </w:r>
          </w:p>
        </w:tc>
        <w:tc>
          <w:tcPr>
            <w:tcW w:type="dxa" w:w="3216"/>
          </w:tcPr>
          <w:p>
            <w:r/>
            <w:r>
              <w:t>Control de accesos</w:t>
            </w:r>
          </w:p>
        </w:tc>
      </w:tr>
      <w:tr>
        <w:tc>
          <w:tcPr>
            <w:tcW w:type="dxa" w:w="3216"/>
          </w:tcPr>
          <w:p>
            <w:r/>
            <w:r>
              <w:t>Registros del sistema de pagos</w:t>
            </w:r>
          </w:p>
        </w:tc>
        <w:tc>
          <w:tcPr>
            <w:tcW w:type="dxa" w:w="3216"/>
          </w:tcPr>
          <w:p>
            <w:r/>
            <w:r>
              <w:t>[COMPLETAR: según Circular 2280]</w:t>
            </w:r>
          </w:p>
        </w:tc>
        <w:tc>
          <w:tcPr>
            <w:tcW w:type="dxa" w:w="3216"/>
          </w:tcPr>
          <w:p>
            <w:r/>
            <w:r>
              <w:t>BCU</w:t>
            </w:r>
          </w:p>
        </w:tc>
      </w:tr>
    </w:tbl>
    <w:p>
      <w:pPr>
        <w:pStyle w:val="Heading3"/>
      </w:pPr>
      <w:r>
        <w:rPr>
          <w:color w:val="1F3B63"/>
        </w:rPr>
        <w:t>6. Integridad y resguardo de los registros</w:t>
      </w:r>
    </w:p>
    <w:p>
      <w:r>
        <w:t>Los registros se firman/anoniman de forma de detectar alteraciones (hash, almacenamiento de solo escritura), y se resguardan conforme al art. 492 de la RNRCSF en un medio [COMPLETAR: separado del sitio primario], con claves de desencriptación custodiadas por [COMPLETAR: rol].</w:t>
      </w:r>
    </w:p>
    <w:p>
      <w:pPr>
        <w:pStyle w:val="Heading3"/>
      </w:pPr>
      <w:r>
        <w:rPr>
          <w:color w:val="1F3B63"/>
        </w:rPr>
        <w:t>7. Gestión de relojes</w:t>
      </w:r>
    </w:p>
    <w:p>
      <w:r>
        <w:t>Todos los sistemas sincronizan su reloj contra una fuente NTP autorizada por la División TI, con tolerancia máxima de [COMPLETAR: 2 segundos], para que los registros sean ordenables y admisibles como evidencia.</w:t>
      </w:r>
    </w:p>
    <w:p>
      <w:pPr>
        <w:pStyle w:val="Heading3"/>
      </w:pPr>
      <w:r>
        <w:rPr>
          <w:color w:val="1F3B63"/>
        </w:rPr>
        <w:t>8. Acceso a los registros</w:t>
      </w:r>
    </w:p>
    <w:p>
      <w:r>
        <w:t>[COMPLETAR: roles autorizados: administradores del SIEM, RSI, oficiales de la División TI; cada acceso se registra y audita]. Prohibido leer logs de clientes sin base legal. Se aplica el principio de mínimo privilegio.</w:t>
      </w:r>
    </w:p>
    <w:p>
      <w:pPr>
        <w:pStyle w:val="Heading3"/>
      </w:pPr>
      <w:r>
        <w:rPr>
          <w:color w:val="1F3B63"/>
        </w:rPr>
        <w:t>9.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Directorio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Directorio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ilustrativo. Adaptá a la infraestructura real y a los nombres vigentes del organigrama.</w:t>
      </w:r>
    </w:p>
    <w:p>
      <w:r>
        <w:rPr>
          <w:b/>
        </w:rPr>
        <w:t>Fuentes registradas (ejemplo):</w:t>
      </w:r>
    </w:p>
    <w:p>
      <w:pPr>
        <w:pStyle w:val="ListBullet"/>
      </w:pPr>
      <w:r>
        <w:t>Servidores: Core bancario, Banco En Línea, autenticadores, correo interno.</w:t>
      </w:r>
    </w:p>
    <w:p>
      <w:pPr>
        <w:pStyle w:val="ListBullet"/>
      </w:pPr>
      <w:r>
        <w:t>Red: firewalls perimetrales, VPN de acceso remoto, conmutadores de sucursales.</w:t>
      </w:r>
    </w:p>
    <w:p>
      <w:pPr>
        <w:pStyle w:val="ListBullet"/>
      </w:pPr>
      <w:r>
        <w:t>Aplicaciones: Banco En Línea, sistema de pagos (Dpto. Sistema de Pagos, Cr. Guillermo Correa), homebanking y app móvil.</w:t>
      </w:r>
    </w:p>
    <w:p>
      <w:pPr>
        <w:pStyle w:val="ListBullet"/>
      </w:pPr>
      <w:r>
        <w:t>Bases de datos: SGBD de clientes y de préstamos hipotecarios.</w:t>
      </w:r>
    </w:p>
    <w:p>
      <w:pPr>
        <w:pStyle w:val="ListBullet"/>
      </w:pPr>
      <w:r>
        <w:t>Endpoints: estaciones de trabajo con EDR del Dpto. Soporte Técnico (Tec. Ariel Presa).</w:t>
      </w:r>
    </w:p>
    <w:p>
      <w:pPr>
        <w:pStyle w:val="ListBullet"/>
      </w:pPr>
      <w:r>
        <w:t>Accesos: IAM corporativo, directorio activo y puntos de venta de sucursales.</w:t>
      </w:r>
    </w:p>
    <w:p>
      <w:r>
        <w:rPr>
          <w:b/>
        </w:rPr>
        <w:t>Retención (ejemplo):</w:t>
      </w:r>
      <w:r>
        <w:t xml:space="preserve"> 12 meses para eventos de seguridad y accesos; 10 años para registros contables de operaciones de préstamo conforme a la normativa aplicable; plazos de la Circular 2280 para el sistema de pagos.</w:t>
      </w:r>
    </w:p>
    <w:p>
      <w:r>
        <w:rPr>
          <w:b/>
        </w:rPr>
        <w:t>Integridad y resguardo (ejemplo):</w:t>
      </w:r>
      <w:r>
        <w:t xml:space="preserve"> el SIEM escribe los registros en almacenamiento de solo adición (append-only); se calcula un hash por bloque de registros; diariamente se replica a la cinta/bóveda de respaldo que se custodia en sitio alternativo con claves separadas, cumpliendo el art. 492 de la RNRCSF.</w:t>
      </w:r>
    </w:p>
    <w:p>
      <w:r>
        <w:rPr>
          <w:b/>
        </w:rPr>
        <w:t>Relojes (ejemplo):</w:t>
      </w:r>
      <w:r>
        <w:t xml:space="preserve"> NTP autorizado sincronizado contra el servicio horario nacional; tolerancia de 2 segundos.</w:t>
      </w:r>
    </w:p>
    <w:p>
      <w:r>
        <w:rPr>
          <w:b/>
        </w:rPr>
        <w:t>Acceso (ejemplo):</w:t>
      </w:r>
      <w:r>
        <w:t xml:space="preserve"> solo el administrador del SIEM y el RSI leen los registros; el Oficial de Cumplimiento puede solicitar exportaciones fundadas; toda consulta queda logueada y se audita semestralmente por Auditoría Interna (Cr. Marcelo Jorge).</w:t>
      </w:r>
    </w:p>
    <w:p>
      <w:r>
        <w:rPr>
          <w:b/>
        </w:rPr>
        <w:t>Documentos relacionados:</w:t>
      </w:r>
    </w:p>
    <w:p>
      <w:pPr>
        <w:pStyle w:val="ListBullet"/>
      </w:pPr>
      <w:r>
        <w:t>DE-02 (Detección de Anomalías e Intrusiones)</w:t>
      </w:r>
    </w:p>
    <w:p>
      <w:pPr>
        <w:pStyle w:val="ListBullet"/>
      </w:pPr>
      <w:r>
        <w:t>RS-01 (Respuesta a Incidentes) · RS-03 (Forense y Evidencia)</w:t>
      </w:r>
    </w:p>
    <w:p>
      <w:pPr>
        <w:pStyle w:val="ListBullet"/>
      </w:pPr>
      <w:r>
        <w:t>PR-05 (Respaldo y Recuperación) · RC-02 (DRP)</w:t>
      </w:r>
    </w:p>
    <w:p>
      <w:pPr>
        <w:pStyle w:val="ListBullet"/>
      </w:pPr>
      <w:r>
        <w:t>BCU-04 (Gestión TI) · URCDP-01 (Documento de Seguridad de Datos)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