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DE-02 · Procedimiento de Detección de Anomalías e Intrusiones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Detectar (DE.CM — Monitoreo continuo · DE.AE — Análisis de eventos adversos)</w:t>
      </w:r>
    </w:p>
    <w:p>
      <w:pPr>
        <w:ind w:left="432"/>
      </w:pPr>
      <w:r>
        <w:rPr>
          <w:i/>
          <w:color w:val="606060"/>
        </w:rPr>
        <w:t>**ISO/IEC 27001:** A.8.16 (Monitoreo de actividades)</w:t>
      </w:r>
    </w:p>
    <w:p>
      <w:pPr>
        <w:ind w:left="432"/>
      </w:pPr>
      <w:r>
        <w:rPr>
          <w:i/>
          <w:color w:val="606060"/>
        </w:rPr>
        <w:t>**BCU:** Circular 2280 (sistema de pagos)</w:t>
      </w:r>
    </w:p>
    <w:p>
      <w:pPr>
        <w:ind w:left="432"/>
      </w:pPr>
      <w:r>
        <w:rPr>
          <w:i/>
          <w:color w:val="606060"/>
        </w:rPr>
        <w:t>**URCDP:** Ley 18.331 art. 10 · Decreto 64/020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Este procedimiento convierte los </w:t>
      </w:r>
      <w:r>
        <w:rPr>
          <w:b/>
        </w:rPr>
        <w:t>registros</w:t>
      </w:r>
      <w:r>
        <w:t xml:space="preserve"> (DE-01) en </w:t>
      </w:r>
      <w:r>
        <w:rPr>
          <w:b/>
        </w:rPr>
        <w:t>alertas accionables</w:t>
      </w:r>
      <w:r>
        <w:t xml:space="preserve">: define los casos de uso de detección, las líneas base, los umbrales de alerta y el flujo de escalamiento para que una anomalía pase de un aviso a una respuesta coordinada (RS-01). Es el corazón operativo de la función </w:t>
      </w:r>
      <w:r>
        <w:rPr>
          <w:b/>
        </w:rPr>
        <w:t>Detectar</w:t>
      </w:r>
      <w:r>
        <w:t xml:space="preserve"> del MCU 5.0.</w:t>
      </w:r>
    </w:p>
    <w:p>
      <w:r>
        <w:t>En el Banco los riesgos típicos son el fraude interno y externo (transferencias inusuales, créditos simulados), la infección por malware o ransomware, y la exfiltración de datos personales de clientes. Sin reglas de detección y sin alguien que las administre, los logs acumulados no sirven de nada: el incidente se descubre tarde, cuando el daño ya está hecho y el plazo de 72 horas de la URCDP ya corrió.</w:t>
      </w:r>
    </w:p>
    <w:p>
      <w:r>
        <w:t xml:space="preserve">El procedimiento no depende solo de la herramienta (EDR/XDR/SIEM): depende de que existan </w:t>
      </w:r>
      <w:r>
        <w:rPr>
          <w:b/>
        </w:rPr>
        <w:t>líneas base</w:t>
      </w:r>
      <w:r>
        <w:t xml:space="preserve"> (qué es lo normal), </w:t>
      </w:r>
      <w:r>
        <w:rPr>
          <w:b/>
        </w:rPr>
        <w:t>umbrales</w:t>
      </w:r>
      <w:r>
        <w:t xml:space="preserve"> (qué es anómalo) y </w:t>
      </w:r>
      <w:r>
        <w:rPr>
          <w:b/>
        </w:rPr>
        <w:t>turnos de monitoreo</w:t>
      </w:r>
      <w:r>
        <w:t xml:space="preserve"> (quién mira y cuándo). La evidencia de que este proceso funciona se presenta ante el BCU (Circular 2280, riesgo operativo) y ante Agesic en las autoevaluaciones del MCU 5.0.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DE.CM / DE.AE</w:t>
            </w:r>
          </w:p>
        </w:tc>
        <w:tc>
          <w:tcPr>
            <w:tcW w:type="dxa" w:w="3216"/>
          </w:tcPr>
          <w:p>
            <w:r/>
            <w:r>
              <w:t>Monitoreo continuo y análisis de eventos adversos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A.8.16</w:t>
            </w:r>
          </w:p>
        </w:tc>
        <w:tc>
          <w:tcPr>
            <w:tcW w:type="dxa" w:w="3216"/>
          </w:tcPr>
          <w:p>
            <w:r/>
            <w:r>
              <w:t>Monitoreo de actividades de red y sistemas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2280</w:t>
            </w:r>
          </w:p>
        </w:tc>
        <w:tc>
          <w:tcPr>
            <w:tcW w:type="dxa" w:w="3216"/>
          </w:tcPr>
          <w:p>
            <w:r/>
            <w:r>
              <w:t>Vigilancia del sistema de pagos y detección de operaciones anómalas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Decreto 64/020</w:t>
            </w:r>
          </w:p>
        </w:tc>
        <w:tc>
          <w:tcPr>
            <w:tcW w:type="dxa" w:w="3216"/>
          </w:tcPr>
          <w:p>
            <w:r/>
            <w:r>
              <w:t>Prevenir el acceso no autorizado y la fuga de datos personales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Listá los casos de uso de detección</w:t>
      </w:r>
      <w:r>
        <w:t xml:space="preserve"> con el RSI, la División TI y el Dpto. Sistema de Pagos: priorizá los que protegen transferencias, banca en línea y datos de clientes.</w:t>
      </w:r>
    </w:p>
    <w:p>
      <w:pPr>
        <w:pStyle w:val="ListNumber"/>
      </w:pPr>
      <w:r>
        <w:rPr>
          <w:b/>
        </w:rPr>
        <w:t>Definí líneas base y umbrales</w:t>
      </w:r>
      <w:r>
        <w:t xml:space="preserve"> con el Jefe de Departamento Producción (Ing. Daniel Herrera): hay que conocer la operación normal antes de marcar lo anómalo (ej. hora pico, volúmenes esperados).</w:t>
      </w:r>
    </w:p>
    <w:p>
      <w:pPr>
        <w:pStyle w:val="ListNumber"/>
      </w:pPr>
      <w:r>
        <w:rPr>
          <w:b/>
        </w:rPr>
        <w:t>Documentá las reglas y firmas</w:t>
      </w:r>
      <w:r>
        <w:t xml:space="preserve"> que mantiene la plataforma SIEM/EDR (EDR/XDR/SIEM) y el proceso de actualización de firmas.</w:t>
      </w:r>
    </w:p>
    <w:p>
      <w:pPr>
        <w:pStyle w:val="ListNumber"/>
      </w:pPr>
      <w:r>
        <w:rPr>
          <w:b/>
        </w:rPr>
        <w:t>Definí el escalamiento</w:t>
      </w:r>
      <w:r>
        <w:t xml:space="preserve"> con el RSI: quién recibe cada nivel de alerta y en qué horario (24×7 o en horario hábil con guardia pasiva).</w:t>
      </w:r>
    </w:p>
    <w:p>
      <w:pPr>
        <w:pStyle w:val="ListNumber"/>
      </w:pPr>
      <w:r>
        <w:rPr>
          <w:b/>
        </w:rPr>
        <w:t>Probalo con ejercicios de mesa</w:t>
      </w:r>
      <w:r>
        <w:t>: tomá un incidente real o simulado y verificá que la alerta llega y escala.</w:t>
      </w:r>
    </w:p>
    <w:p>
      <w:pPr>
        <w:pStyle w:val="ListNumber"/>
      </w:pPr>
      <w:r>
        <w:t xml:space="preserve">Consultá al </w:t>
      </w:r>
      <w:r>
        <w:rPr>
          <w:b/>
        </w:rPr>
        <w:t>RSI</w:t>
      </w:r>
      <w:r>
        <w:t xml:space="preserve"> y al </w:t>
      </w:r>
      <w:r>
        <w:rPr>
          <w:b/>
        </w:rPr>
        <w:t>Oficial de Cumplimiento</w:t>
      </w:r>
      <w:r>
        <w:t xml:space="preserve"> para los casos de uso vinculados a fraude y lavado (reportes de operaciones inusuales).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DE-02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Procedimiento de Detección de Anomalías e Intrusiones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Detectar oportunamente comportamientos anómalos o intrusiones en los sistemas y redes del Banco y convertirlos en alertas gestionadas que alimenten el Plan de Respuesta a Incidentes (RS-01).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sistemas monitoreados según DE-01, incluyendo la red, los endpoints, las aplicaciones de banca y el sistema de pagos].</w:t>
      </w:r>
    </w:p>
    <w:p>
      <w:pPr>
        <w:pStyle w:val="Heading3"/>
      </w:pPr>
      <w:r>
        <w:rPr>
          <w:color w:val="1F3B63"/>
        </w:rPr>
        <w:t>3. Casos de uso de detección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Caso de uso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Señal a detectar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Login anómalo</w:t>
            </w:r>
          </w:p>
        </w:tc>
        <w:tc>
          <w:tcPr>
            <w:tcW w:type="dxa" w:w="3216"/>
          </w:tcPr>
          <w:p>
            <w:r/>
            <w:r>
              <w:t>Acceso desde país inusual, horario atípico, cuenta comprometida</w:t>
            </w:r>
          </w:p>
        </w:tc>
        <w:tc>
          <w:tcPr>
            <w:tcW w:type="dxa" w:w="3216"/>
          </w:tcPr>
          <w:p>
            <w:r/>
            <w:r>
              <w:t>Cliente de Banco En Línea entra desde el exterior sin viaje previo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Transferencia inusual</w:t>
            </w:r>
          </w:p>
        </w:tc>
        <w:tc>
          <w:tcPr>
            <w:tcW w:type="dxa" w:w="3216"/>
          </w:tcPr>
          <w:p>
            <w:r/>
            <w:r>
              <w:t>Monto, destinatario o frecuencia fuera de línea base</w:t>
            </w:r>
          </w:p>
        </w:tc>
        <w:tc>
          <w:tcPr>
            <w:tcW w:type="dxa" w:w="3216"/>
          </w:tcPr>
          <w:p>
            <w:r/>
            <w:r>
              <w:t>Orden de pago de alto valor a una cuenta nueva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Malware</w:t>
            </w:r>
          </w:p>
        </w:tc>
        <w:tc>
          <w:tcPr>
            <w:tcW w:type="dxa" w:w="3216"/>
          </w:tcPr>
          <w:p>
            <w:r/>
            <w:r>
              <w:t>Firma de malware, comportamiento de ransomware</w:t>
            </w:r>
          </w:p>
        </w:tc>
        <w:tc>
          <w:tcPr>
            <w:tcW w:type="dxa" w:w="3216"/>
          </w:tcPr>
          <w:p>
            <w:r/>
            <w:r>
              <w:t>Cifrado masivo de archivos en una estación de sucursal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Exfiltración</w:t>
            </w:r>
          </w:p>
        </w:tc>
        <w:tc>
          <w:tcPr>
            <w:tcW w:type="dxa" w:w="3216"/>
          </w:tcPr>
          <w:p>
            <w:r/>
            <w:r>
              <w:t>Salida de datos en volumen hacia el exterior</w:t>
            </w:r>
          </w:p>
        </w:tc>
        <w:tc>
          <w:tcPr>
            <w:tcW w:type="dxa" w:w="3216"/>
          </w:tcPr>
          <w:p>
            <w:r/>
            <w:r>
              <w:t>Exportación masiva de la base de clientes a un disco o nube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Uso indebido de privilegios</w:t>
            </w:r>
          </w:p>
        </w:tc>
        <w:tc>
          <w:tcPr>
            <w:tcW w:type="dxa" w:w="3216"/>
          </w:tcPr>
          <w:p>
            <w:r/>
            <w:r>
              <w:t>Comando administrativo inusual</w:t>
            </w:r>
          </w:p>
        </w:tc>
        <w:tc>
          <w:tcPr>
            <w:tcW w:type="dxa" w:w="3216"/>
          </w:tcPr>
          <w:p>
            <w:r/>
            <w:r>
              <w:t>Un DBA lee datos de clientes fuera de su función</w:t>
            </w:r>
          </w:p>
        </w:tc>
      </w:tr>
    </w:tbl>
    <w:p>
      <w:pPr>
        <w:pStyle w:val="Heading3"/>
      </w:pPr>
      <w:r>
        <w:rPr>
          <w:color w:val="1F3B63"/>
        </w:rPr>
        <w:t>4. Correlación y alertas</w:t>
      </w:r>
    </w:p>
    <w:p>
      <w:r>
        <w:t>[COMPLETAR: reglas de correlación del SIEM], niveles de severidad (información / baja / media / alta / crítica), y canal de alerta (correo, ticket, consola). Toda alerta se registra con: fecha, origen, descripción, sistema afectado y responsable de la acción.</w:t>
      </w:r>
    </w:p>
    <w:p>
      <w:pPr>
        <w:pStyle w:val="Heading3"/>
      </w:pPr>
      <w:r>
        <w:rPr>
          <w:color w:val="1F3B63"/>
        </w:rPr>
        <w:t>5. Umbrales y líneas base</w:t>
      </w:r>
    </w:p>
    <w:p>
      <w:r>
        <w:t>[COMPLETAR: describir la línea base de cada caso de uso y los umbrales. Ej. más de 5 intentos de login fallidos en 10 minutos desde la misma IP = alerta media]. Las líneas base se recalculan [COMPLETAR: semestralmente] o ante cambios significativos de operación.</w:t>
      </w:r>
    </w:p>
    <w:p>
      <w:pPr>
        <w:pStyle w:val="Heading3"/>
      </w:pPr>
      <w:r>
        <w:rPr>
          <w:color w:val="1F3B63"/>
        </w:rPr>
        <w:t>6. Escalamiento a respuesta (RS-01)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Quién recibe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Tiempo objetivo de análisis</w:t>
            </w:r>
          </w:p>
        </w:tc>
      </w:tr>
      <w:tr>
        <w:tc>
          <w:tcPr>
            <w:tcW w:type="dxa" w:w="3216"/>
          </w:tcPr>
          <w:p>
            <w:r/>
            <w:r>
              <w:t>Baja</w:t>
            </w:r>
          </w:p>
        </w:tc>
        <w:tc>
          <w:tcPr>
            <w:tcW w:type="dxa" w:w="3216"/>
          </w:tcPr>
          <w:p>
            <w:r/>
            <w:r>
              <w:t>Analista de monitoreo</w:t>
            </w:r>
          </w:p>
        </w:tc>
        <w:tc>
          <w:tcPr>
            <w:tcW w:type="dxa" w:w="3216"/>
          </w:tcPr>
          <w:p>
            <w:r/>
            <w:r>
              <w:t>[COMPLETAR: 4 h hábiles]</w:t>
            </w:r>
          </w:p>
        </w:tc>
      </w:tr>
      <w:tr>
        <w:tc>
          <w:tcPr>
            <w:tcW w:type="dxa" w:w="3216"/>
          </w:tcPr>
          <w:p>
            <w:r/>
            <w:r>
              <w:t>Media</w:t>
            </w:r>
          </w:p>
        </w:tc>
        <w:tc>
          <w:tcPr>
            <w:tcW w:type="dxa" w:w="3216"/>
          </w:tcPr>
          <w:p>
            <w:r/>
            <w:r>
              <w:t>Analista + RSI</w:t>
            </w:r>
          </w:p>
        </w:tc>
        <w:tc>
          <w:tcPr>
            <w:tcW w:type="dxa" w:w="3216"/>
          </w:tcPr>
          <w:p>
            <w:r/>
            <w:r>
              <w:t>[COMPLETAR: 2 h]</w:t>
            </w:r>
          </w:p>
        </w:tc>
      </w:tr>
      <w:tr>
        <w:tc>
          <w:tcPr>
            <w:tcW w:type="dxa" w:w="3216"/>
          </w:tcPr>
          <w:p>
            <w:r/>
            <w:r>
              <w:t>Alta</w:t>
            </w:r>
          </w:p>
        </w:tc>
        <w:tc>
          <w:tcPr>
            <w:tcW w:type="dxa" w:w="3216"/>
          </w:tcPr>
          <w:p>
            <w:r/>
            <w:r>
              <w:t>RSI + Div. TI</w:t>
            </w:r>
          </w:p>
        </w:tc>
        <w:tc>
          <w:tcPr>
            <w:tcW w:type="dxa" w:w="3216"/>
          </w:tcPr>
          <w:p>
            <w:r/>
            <w:r>
              <w:t>[COMPLETAR: 1 h]</w:t>
            </w:r>
          </w:p>
        </w:tc>
      </w:tr>
      <w:tr>
        <w:tc>
          <w:tcPr>
            <w:tcW w:type="dxa" w:w="3216"/>
          </w:tcPr>
          <w:p>
            <w:r/>
            <w:r>
              <w:t>Crítica</w:t>
            </w:r>
          </w:p>
        </w:tc>
        <w:tc>
          <w:tcPr>
            <w:tcW w:type="dxa" w:w="3216"/>
          </w:tcPr>
          <w:p>
            <w:r/>
            <w:r>
              <w:t>Comité / RSI convoca RS-01</w:t>
            </w:r>
          </w:p>
        </w:tc>
        <w:tc>
          <w:tcPr>
            <w:tcW w:type="dxa" w:w="3216"/>
          </w:tcPr>
          <w:p>
            <w:r/>
            <w:r>
              <w:t>[COMPLETAR: inmediato]</w:t>
            </w:r>
          </w:p>
        </w:tc>
      </w:tr>
    </w:tbl>
    <w:p>
      <w:r>
        <w:t>Las alertas confirmadas como incidente pasan al Plan de Respuesta (RS-01). Las descartadas se documentan como falsos positivos para calibrar las reglas.</w:t>
      </w:r>
    </w:p>
    <w:p>
      <w:pPr>
        <w:pStyle w:val="Heading3"/>
      </w:pPr>
      <w:r>
        <w:rPr>
          <w:color w:val="1F3B63"/>
        </w:rPr>
        <w:t>7. Herramientas EDR/XDR/SIEM</w:t>
      </w:r>
    </w:p>
    <w:p>
      <w:r>
        <w:t>[COMPLETAR: nombre de las herramientas, versión, responsabilidad de administración y proceso de actualización de firmas y reglas]. El mantenimiento de firmas es [COMPLETAR: automático / manual] y se verifica [COMPLETAR: diariamente].</w:t>
      </w:r>
    </w:p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Líneas base (ejemplo):</w:t>
      </w:r>
    </w:p>
    <w:p>
      <w:pPr>
        <w:pStyle w:val="ListBullet"/>
      </w:pPr>
      <w:r>
        <w:rPr>
          <w:b/>
        </w:rPr>
        <w:t>Banco En Línea:</w:t>
      </w:r>
      <w:r>
        <w:t xml:space="preserve"> pico de logins de 8:00 a 13:00 (días hábiles); volumen mensual de transferencias de aproximadamente [X] por cliente.</w:t>
      </w:r>
    </w:p>
    <w:p>
      <w:pPr>
        <w:pStyle w:val="ListBullet"/>
      </w:pPr>
      <w:r>
        <w:rPr>
          <w:b/>
        </w:rPr>
        <w:t>Sucursales:</w:t>
      </w:r>
      <w:r>
        <w:t xml:space="preserve"> jornada hábil de 13:00 a 17:00; pocos accesos fuera de ese rango.</w:t>
      </w:r>
    </w:p>
    <w:p>
      <w:pPr>
        <w:pStyle w:val="ListBullet"/>
      </w:pPr>
      <w:r>
        <w:rPr>
          <w:b/>
        </w:rPr>
        <w:t>Red:</w:t>
      </w:r>
      <w:r>
        <w:t xml:space="preserve"> tráfico de sucursales concentrado en horario hábil; accesos VPN de funcionarios fuera de horario solo para áreas autorizadas.</w:t>
      </w:r>
    </w:p>
    <w:p>
      <w:r>
        <w:rPr>
          <w:b/>
        </w:rPr>
        <w:t>Umbrales (ejemplo):</w:t>
      </w:r>
    </w:p>
    <w:p>
      <w:pPr>
        <w:pStyle w:val="ListBullet"/>
      </w:pPr>
      <w:r>
        <w:t>5 o más logins fallidos a Banco En Línea en 10 minutos → alerta media → se bloquea la IP y se avisa al área de banca.</w:t>
      </w:r>
    </w:p>
    <w:p>
      <w:pPr>
        <w:pStyle w:val="ListBullet"/>
      </w:pPr>
      <w:r>
        <w:t>Transferencia de más de [X] UI a un beneficiario nuevo → alerta alta → revisión del Oficial de Cumplimiento.</w:t>
      </w:r>
    </w:p>
    <w:p>
      <w:pPr>
        <w:pStyle w:val="ListBullet"/>
      </w:pPr>
      <w:r>
        <w:t>Detección de cifrado de 10+ archivos por minuto en un endpoint → alerta crítica → se aísla el equipo y se convoca RS-01.</w:t>
      </w:r>
    </w:p>
    <w:p>
      <w:pPr>
        <w:pStyle w:val="ListBullet"/>
      </w:pPr>
      <w:r>
        <w:t>Salida de más de 100 MB desde el segmento de base de datos → alerta alta → investigación por exfiltración.</w:t>
      </w:r>
    </w:p>
    <w:p>
      <w:r>
        <w:rPr>
          <w:b/>
        </w:rPr>
        <w:t>Escalamiento (ejemplo):</w:t>
      </w:r>
      <w:r>
        <w:t xml:space="preserve"> el analista del SIEM confirma una alerta crítica a las 03:12 y activa la guardia del RSI, quien a las 03:40 convoca la respuesta según RS-01. A las 05:00 se aisló el endpoint afectado. El incidente se registra y se notifica conforme a RS-02.</w:t>
      </w:r>
    </w:p>
    <w:p>
      <w:r>
        <w:rPr>
          <w:b/>
        </w:rPr>
        <w:t>Calibración (ejemplo):</w:t>
      </w:r>
      <w:r>
        <w:t xml:space="preserve"> el 30% de las alertas del primer trimestre fueron falsos positivos de la regla de login geográfico; se ajustó la regla y se recalculó la línea base en la revisión de DE-01/DE-02 del mes siguiente.</w:t>
      </w:r>
    </w:p>
    <w:p>
      <w:r>
        <w:rPr>
          <w:b/>
        </w:rPr>
        <w:t>Documentos relacionados:</w:t>
      </w:r>
    </w:p>
    <w:p>
      <w:pPr>
        <w:pStyle w:val="ListBullet"/>
      </w:pPr>
      <w:r>
        <w:t>DE-01 (Monitoreo y Registro de Eventos)</w:t>
      </w:r>
    </w:p>
    <w:p>
      <w:pPr>
        <w:pStyle w:val="ListBullet"/>
      </w:pPr>
      <w:r>
        <w:t>RS-01 (Respuesta a Incidentes) · RS-02 (Notificación) · RS-03 (Forense)</w:t>
      </w:r>
    </w:p>
    <w:p>
      <w:pPr>
        <w:pStyle w:val="ListBullet"/>
      </w:pPr>
      <w:r>
        <w:t>PR-06 (Gestión de Vulnerabilidades) · BCU-04 (Gestión TI)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