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DE-03 · Programa de Pruebas de Seguridad (Pentest)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Detectar (DE.CM) · Proteger (PR.PS — Seguridad de plataformas)</w:t>
      </w:r>
    </w:p>
    <w:p>
      <w:pPr>
        <w:ind w:left="432"/>
      </w:pPr>
      <w:r>
        <w:rPr>
          <w:i/>
          <w:color w:val="606060"/>
        </w:rPr>
        <w:t>**ISO/IEC 27001:** A.8.8 (Gestión de vulnerabilidades técnicas)</w:t>
      </w:r>
    </w:p>
    <w:p>
      <w:pPr>
        <w:ind w:left="432"/>
      </w:pPr>
      <w:r>
        <w:rPr>
          <w:i/>
          <w:color w:val="606060"/>
        </w:rPr>
        <w:t>**BCU:** Estándares Mínimos de Gestión — Auditoría (EMG) · Circular 2280</w:t>
      </w:r>
    </w:p>
    <w:p>
      <w:pPr>
        <w:ind w:left="432"/>
      </w:pPr>
      <w:r>
        <w:rPr>
          <w:i/>
          <w:color w:val="606060"/>
        </w:rPr>
        <w:t>**URCDP:** Ley 18.331 art. 10 · Decreto 64/020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Programa de Pruebas de Seguridad</w:t>
      </w:r>
      <w:r>
        <w:t xml:space="preserve"> (o pentest) es el mecanismo por el cual el Banco comprueba de manera proactiva que sus controles técnicos resisten un ataque real, simulando el accionar de un atacante autorizado. Complementa la detección pasiva (DE-01/DE-02) con la evaluación activa de vulnerabilidades explotables en perímetros, aplicaciones, redes y personas.</w:t>
      </w:r>
    </w:p>
    <w:p>
      <w:r>
        <w:t>Para un banco público, la prueba no es opcional: los Estándares Mínimos de Gestión del BCU y la Circular 2280 esperan que la entidad evalúe periódicamente la seguridad de sus sistemas, y el MCU 5.0 (DE.CM/PR.PS) pide evidencia de monitoreo y de gestión técnica de vulnerabilidades. Una auditoría externa que pruebe la seguridad aporta también confianza a la URCDP respecto de la idoneidad de las medidas del art. 10.</w:t>
      </w:r>
    </w:p>
    <w:p>
      <w:r>
        <w:t xml:space="preserve">Un pentest bien gestionado es un </w:t>
      </w:r>
      <w:r>
        <w:rPr>
          <w:b/>
        </w:rPr>
        <w:t>proceso de negocio</w:t>
      </w:r>
      <w:r>
        <w:t xml:space="preserve"> con alcance autorizado, reglas de contratación claras, gestión del riesgo del propio test, remediación con seguimiento y reporte a la dirección. Esta plantilla estructura ese proceso para que no dependa de una persona, sino de un programa con frecuencia, presupuesto y dueños.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DE.CM · PR.PS</w:t>
            </w:r>
          </w:p>
        </w:tc>
        <w:tc>
          <w:tcPr>
            <w:tcW w:type="dxa" w:w="3216"/>
          </w:tcPr>
          <w:p>
            <w:r/>
            <w:r>
              <w:t>Monitoreo continuo y seguridad de plataformas; gestión de vulnerabilidades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A.8.8</w:t>
            </w:r>
          </w:p>
        </w:tc>
        <w:tc>
          <w:tcPr>
            <w:tcW w:type="dxa" w:w="3216"/>
          </w:tcPr>
          <w:p>
            <w:r/>
            <w:r>
              <w:t>Gestión de vulnerabilidades técnicas y pruebas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Auditoría; Circular 2280</w:t>
            </w:r>
          </w:p>
        </w:tc>
        <w:tc>
          <w:tcPr>
            <w:tcW w:type="dxa" w:w="3216"/>
          </w:tcPr>
          <w:p>
            <w:r/>
            <w:r>
              <w:t>Evaluación periódica de la seguridad; pruebas del sistema de pagos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Decreto 64/020</w:t>
            </w:r>
          </w:p>
        </w:tc>
        <w:tc>
          <w:tcPr>
            <w:tcW w:type="dxa" w:w="3216"/>
          </w:tcPr>
          <w:p>
            <w:r/>
            <w:r>
              <w:t>Medidas idóneas y necesarias de seguridad de los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el alcance anual</w:t>
      </w:r>
      <w:r>
        <w:t xml:space="preserve"> con el RSI y la División TI: qué sistemas se prueban (perímetro, Banco En Línea, app móvil, core, sucursales) y en qué trimestre.</w:t>
      </w:r>
    </w:p>
    <w:p>
      <w:pPr>
        <w:pStyle w:val="ListNumber"/>
      </w:pPr>
      <w:r>
        <w:rPr>
          <w:b/>
        </w:rPr>
        <w:t>Determiná la frecuencia</w:t>
      </w:r>
      <w:r>
        <w:t>: al menos una vez al año cada superficie crítica y una prueba adicional ante cambios mayores (nuevo core, nueva app, gran actualización).</w:t>
      </w:r>
    </w:p>
    <w:p>
      <w:pPr>
        <w:pStyle w:val="ListNumber"/>
      </w:pPr>
      <w:r>
        <w:rPr>
          <w:b/>
        </w:rPr>
        <w:t>Redactá los términos de contratación</w:t>
      </w:r>
      <w:r>
        <w:t xml:space="preserve"> con el Dpto. Compras y Contrataciones: contrato, NDA, alcance, autorización escrita, ventana de prueba y responsables.</w:t>
      </w:r>
    </w:p>
    <w:p>
      <w:pPr>
        <w:pStyle w:val="ListNumber"/>
      </w:pPr>
      <w:r>
        <w:rPr>
          <w:b/>
        </w:rPr>
        <w:t>Gestioná los riesgos del test</w:t>
      </w:r>
      <w:r>
        <w:t xml:space="preserve"> con la División TI: definir ventanas, sistemas en prueba y monitoreo durante la ejecución para que la prueba no genere una indisponibilidad real.</w:t>
      </w:r>
    </w:p>
    <w:p>
      <w:pPr>
        <w:pStyle w:val="ListNumber"/>
      </w:pPr>
      <w:r>
        <w:rPr>
          <w:b/>
        </w:rPr>
        <w:t>Planificá la remediación</w:t>
      </w:r>
      <w:r>
        <w:t xml:space="preserve"> con el RSI y el Comité: criterios de prioridad (crítico/alto/medio), plazos y re-test.</w:t>
      </w:r>
    </w:p>
    <w:p>
      <w:pPr>
        <w:pStyle w:val="ListNumber"/>
      </w:pPr>
      <w:r>
        <w:t xml:space="preserve">Consultá a </w:t>
      </w:r>
      <w:r>
        <w:rPr>
          <w:b/>
        </w:rPr>
        <w:t>Auditoría Interna</w:t>
      </w:r>
      <w:r>
        <w:t xml:space="preserve"> (Cr. Marcelo Jorge) para que la prueba quede en el plan anual de auditoría, y al </w:t>
      </w:r>
      <w:r>
        <w:rPr>
          <w:b/>
        </w:rPr>
        <w:t>DPD</w:t>
      </w:r>
      <w:r>
        <w:t xml:space="preserve"> si el alcance toca datos personales.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DE-03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Programa de Pruebas de Seguridad (Pentest)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Evaluar periódicamente la seguridad de los sistemas del Banco mediante pruebas técnicas autorizadas, para identificar y remediar vulnerabilidades antes de que sean explotadas.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redes perimetrales, Banco En Línea, app móvil, servicios web, core bancario, sistema de pagos, sucursales y, con alcance acotado, personal y proveedores]. Quedan excluidos [COMPLETAR: sistemas cuya prueba pondría en riesgo la operación sin autorización expresa].</w:t>
      </w:r>
    </w:p>
    <w:p>
      <w:pPr>
        <w:pStyle w:val="Heading3"/>
      </w:pPr>
      <w:r>
        <w:rPr>
          <w:color w:val="1F3B63"/>
        </w:rPr>
        <w:t>3. Tipos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 mínima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Pentest externo</w:t>
            </w:r>
          </w:p>
        </w:tc>
        <w:tc>
          <w:tcPr>
            <w:tcW w:type="dxa" w:w="3216"/>
          </w:tcPr>
          <w:p>
            <w:r/>
            <w:r>
              <w:t>Desde Internet contra el perímetro y servicios públicos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Pentest interno</w:t>
            </w:r>
          </w:p>
        </w:tc>
        <w:tc>
          <w:tcPr>
            <w:tcW w:type="dxa" w:w="3216"/>
          </w:tcPr>
          <w:p>
            <w:r/>
            <w:r>
              <w:t>Desde la red interna, simulando un atacante o un funcionario malintencionado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Prueba de aplicación</w:t>
            </w:r>
          </w:p>
        </w:tc>
        <w:tc>
          <w:tcPr>
            <w:tcW w:type="dxa" w:w="3216"/>
          </w:tcPr>
          <w:p>
            <w:r/>
            <w:r>
              <w:t>Banco En Línea, app móvil, APIs (OWASP Top 10)</w:t>
            </w:r>
          </w:p>
        </w:tc>
        <w:tc>
          <w:tcPr>
            <w:tcW w:type="dxa" w:w="3216"/>
          </w:tcPr>
          <w:p>
            <w:r/>
            <w:r>
              <w:t>Anual y ante cambios mayores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Ingeniería social</w:t>
            </w:r>
          </w:p>
        </w:tc>
        <w:tc>
          <w:tcPr>
            <w:tcW w:type="dxa" w:w="3216"/>
          </w:tcPr>
          <w:p>
            <w:r/>
            <w:r>
              <w:t>Phishing controlado y, si se autoriza, pruebas físicas</w:t>
            </w:r>
          </w:p>
        </w:tc>
        <w:tc>
          <w:tcPr>
            <w:tcW w:type="dxa" w:w="3216"/>
          </w:tcPr>
          <w:p>
            <w:r/>
            <w:r>
              <w:t>Anual (acotado)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Revisión de configuración</w:t>
            </w:r>
          </w:p>
        </w:tc>
        <w:tc>
          <w:tcPr>
            <w:tcW w:type="dxa" w:w="3216"/>
          </w:tcPr>
          <w:p>
            <w:r/>
            <w:r>
              <w:t>Revisión de hardening de sistemas críticos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</w:tr>
    </w:tbl>
    <w:p>
      <w:pPr>
        <w:pStyle w:val="Heading3"/>
      </w:pPr>
      <w:r>
        <w:rPr>
          <w:color w:val="1F3B63"/>
        </w:rPr>
        <w:t>4. Frecuencia y disparadores</w:t>
      </w:r>
    </w:p>
    <w:p>
      <w:r>
        <w:t>Las pruebas se ejecutan [COMPLETAR: al menos anualmente] y además cuando ocurra: cambio de plataforma central, alta de un servicio público nuevo, incidente mayor de seguridad o requerimiento del BCU/Agesic. El cronograma anual se aprueba con el Comité de Seguridad.</w:t>
      </w:r>
    </w:p>
    <w:p>
      <w:pPr>
        <w:pStyle w:val="Heading3"/>
      </w:pPr>
      <w:r>
        <w:rPr>
          <w:color w:val="1F3B63"/>
        </w:rPr>
        <w:t>5. Contratación del proveedor</w:t>
      </w:r>
    </w:p>
    <w:p>
      <w:r>
        <w:t>[COMPLETAR: criterios de selección: experiencia en sector financiero, certificaciones (OSCP, CISM, etc.), referencias, cobertura de seguros]. El contrato incluye: alcance detallado, autorización escrita, NDA, ventana de ejecución, metodología, reglas de no interrupción de la producción, y confidencialidad del informe.</w:t>
      </w:r>
    </w:p>
    <w:p>
      <w:pPr>
        <w:pStyle w:val="Heading3"/>
      </w:pPr>
      <w:r>
        <w:rPr>
          <w:color w:val="1F3B63"/>
        </w:rPr>
        <w:t>6. Alcance autorizado y ventanas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Ítem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t>Sistemas en alcance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t>Fuera de alcance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t>Ventana de prueba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t>Contacto de emergencia</w:t>
            </w:r>
          </w:p>
        </w:tc>
        <w:tc>
          <w:tcPr>
            <w:tcW w:type="dxa" w:w="4824"/>
          </w:tcPr>
          <w:p>
            <w:r/>
            <w:r>
              <w:t>[COMPLETAR: RSI + Jefe de Producción]</w:t>
            </w:r>
          </w:p>
        </w:tc>
      </w:tr>
      <w:tr>
        <w:tc>
          <w:tcPr>
            <w:tcW w:type="dxa" w:w="4824"/>
          </w:tcPr>
          <w:p>
            <w:r/>
            <w:r>
              <w:t>Autorización escrita</w:t>
            </w:r>
          </w:p>
        </w:tc>
        <w:tc>
          <w:tcPr>
            <w:tcW w:type="dxa" w:w="4824"/>
          </w:tcPr>
          <w:p>
            <w:r/>
            <w:r>
              <w:t>[COMPLETAR: referencia del contrato/orden de compra]</w:t>
            </w:r>
          </w:p>
        </w:tc>
      </w:tr>
    </w:tbl>
    <w:p>
      <w:pPr>
        <w:pStyle w:val="Heading3"/>
      </w:pPr>
      <w:r>
        <w:rPr>
          <w:color w:val="1F3B63"/>
        </w:rPr>
        <w:t>7. Remediación y re-test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remediación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Verificación</w:t>
            </w:r>
          </w:p>
        </w:tc>
      </w:tr>
      <w:tr>
        <w:tc>
          <w:tcPr>
            <w:tcW w:type="dxa" w:w="3216"/>
          </w:tcPr>
          <w:p>
            <w:r/>
            <w:r>
              <w:t>Crítica</w:t>
            </w:r>
          </w:p>
        </w:tc>
        <w:tc>
          <w:tcPr>
            <w:tcW w:type="dxa" w:w="3216"/>
          </w:tcPr>
          <w:p>
            <w:r/>
            <w:r>
              <w:t>[COMPLETAR: 72 h]</w:t>
            </w:r>
          </w:p>
        </w:tc>
        <w:tc>
          <w:tcPr>
            <w:tcW w:type="dxa" w:w="3216"/>
          </w:tcPr>
          <w:p>
            <w:r/>
            <w:r>
              <w:t>Re-test del proveedor</w:t>
            </w:r>
          </w:p>
        </w:tc>
      </w:tr>
      <w:tr>
        <w:tc>
          <w:tcPr>
            <w:tcW w:type="dxa" w:w="3216"/>
          </w:tcPr>
          <w:p>
            <w:r/>
            <w:r>
              <w:t>Alta</w:t>
            </w:r>
          </w:p>
        </w:tc>
        <w:tc>
          <w:tcPr>
            <w:tcW w:type="dxa" w:w="3216"/>
          </w:tcPr>
          <w:p>
            <w:r/>
            <w:r>
              <w:t>[COMPLETAR: 15 días]</w:t>
            </w:r>
          </w:p>
        </w:tc>
        <w:tc>
          <w:tcPr>
            <w:tcW w:type="dxa" w:w="3216"/>
          </w:tcPr>
          <w:p>
            <w:r/>
            <w:r>
              <w:t>Re-test del proveedor</w:t>
            </w:r>
          </w:p>
        </w:tc>
      </w:tr>
      <w:tr>
        <w:tc>
          <w:tcPr>
            <w:tcW w:type="dxa" w:w="3216"/>
          </w:tcPr>
          <w:p>
            <w:r/>
            <w:r>
              <w:t>Media</w:t>
            </w:r>
          </w:p>
        </w:tc>
        <w:tc>
          <w:tcPr>
            <w:tcW w:type="dxa" w:w="3216"/>
          </w:tcPr>
          <w:p>
            <w:r/>
            <w:r>
              <w:t>[COMPLETAR: 60 días]</w:t>
            </w:r>
          </w:p>
        </w:tc>
        <w:tc>
          <w:tcPr>
            <w:tcW w:type="dxa" w:w="3216"/>
          </w:tcPr>
          <w:p>
            <w:r/>
            <w:r>
              <w:t>Verificación interna</w:t>
            </w:r>
          </w:p>
        </w:tc>
      </w:tr>
      <w:tr>
        <w:tc>
          <w:tcPr>
            <w:tcW w:type="dxa" w:w="3216"/>
          </w:tcPr>
          <w:p>
            <w:r/>
            <w:r>
              <w:t>Baja</w:t>
            </w:r>
          </w:p>
        </w:tc>
        <w:tc>
          <w:tcPr>
            <w:tcW w:type="dxa" w:w="3216"/>
          </w:tcPr>
          <w:p>
            <w:r/>
            <w:r>
              <w:t>[COMPLETAR: 120 días]</w:t>
            </w:r>
          </w:p>
        </w:tc>
        <w:tc>
          <w:tcPr>
            <w:tcW w:type="dxa" w:w="3216"/>
          </w:tcPr>
          <w:p>
            <w:r/>
            <w:r>
              <w:t>Verificación interna</w:t>
            </w:r>
          </w:p>
        </w:tc>
      </w:tr>
    </w:tbl>
    <w:p>
      <w:r>
        <w:t>Los hallazgos aceptados como riesgo residual se registran en ID-04 (Plan de Tratamiento de Riesgos) con la firma del dueño del activo.</w:t>
      </w:r>
    </w:p>
    <w:p>
      <w:pPr>
        <w:pStyle w:val="Heading3"/>
      </w:pPr>
      <w:r>
        <w:rPr>
          <w:color w:val="1F3B63"/>
        </w:rPr>
        <w:t>8. Reporte a la dirección</w:t>
      </w:r>
    </w:p>
    <w:p>
      <w:r>
        <w:t>Cada ciclo de pruebas genera un informe ejecutivo al Comité de Seguridad y al Directorio con: resumen ejecutivo, hallazgos por severidad, estado de remediación y tendencia respecto del ciclo anterior.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al ciclo real y a los sistemas vigentes.</w:t>
      </w:r>
    </w:p>
    <w:p>
      <w:r>
        <w:rPr>
          <w:b/>
        </w:rPr>
        <w:t>Ciclo anual 2026 (ejemplo):</w:t>
      </w:r>
    </w:p>
    <w:p>
      <w:pPr>
        <w:pStyle w:val="ListBullet"/>
      </w:pPr>
      <w:r>
        <w:t>Q1: pentest externo del perímetro y Banco En Línea (proveedor externo contratado por compra pública).</w:t>
      </w:r>
    </w:p>
    <w:p>
      <w:pPr>
        <w:pStyle w:val="ListBullet"/>
      </w:pPr>
      <w:r>
        <w:t>Q2: prueba de la app móvil y de las APIs del sistema de pagos (Dpto. Sistema de Pagos).</w:t>
      </w:r>
    </w:p>
    <w:p>
      <w:pPr>
        <w:pStyle w:val="ListBullet"/>
      </w:pPr>
      <w:r>
        <w:t>Q3: pentest interno con foco en el core bancario y la base de clientes.</w:t>
      </w:r>
    </w:p>
    <w:p>
      <w:pPr>
        <w:pStyle w:val="ListBullet"/>
      </w:pPr>
      <w:r>
        <w:t>Q4: campaña de phishing controlado (con concientización PR-02) y revisión de hardening de servidores.</w:t>
      </w:r>
    </w:p>
    <w:p>
      <w:r>
        <w:rPr>
          <w:b/>
        </w:rPr>
        <w:t>Contratación (ejemplo):</w:t>
      </w:r>
      <w:r>
        <w:t xml:space="preserve"> empresa local con certificación OSCP, seguros de responsabilidad y NDA firmado; alcance detallado y ventana nocturna de 23:00 a 05:00 para el core, autorizado por la División TI.</w:t>
      </w:r>
    </w:p>
    <w:p>
      <w:r>
        <w:rPr>
          <w:b/>
        </w:rPr>
        <w:t>Hallazgos típicos (ejemplo):</w:t>
      </w:r>
      <w:r>
        <w:t xml:space="preserve"> puerto de administración expuesto en un firewall perimetral (alto), falta de parche en un servicio web (alto), errores de validación de entrada en un formulario de banca (medio). El crítico/alto se remedió en 15 días con re-test favorable; los medios quedaron en el plan de tratamiento.</w:t>
      </w:r>
    </w:p>
    <w:p>
      <w:r>
        <w:rPr>
          <w:b/>
        </w:rPr>
        <w:t>Reporte (ejemplo):</w:t>
      </w:r>
      <w:r>
        <w:t xml:space="preserve"> el informe ejecutivo del ciclo Q1 se presentó al Comité de Seguridad el [fecha] y se informó al Directorio la tendencia: 3 hallazgos altos abiertos → 0 pendientes al cierre. La evidencia de este ciclo respalda la autoevaluación del MCU 5.0 (DE.CM, PR.PS) ante Agesic.</w:t>
      </w:r>
    </w:p>
    <w:p>
      <w:r>
        <w:rPr>
          <w:b/>
        </w:rPr>
        <w:t>Documentos relacionados:</w:t>
      </w:r>
    </w:p>
    <w:p>
      <w:pPr>
        <w:pStyle w:val="ListBullet"/>
      </w:pPr>
      <w:r>
        <w:t>DE-01 (Monitoreo) · DE-02 (Detección de Anomalías)</w:t>
      </w:r>
    </w:p>
    <w:p>
      <w:pPr>
        <w:pStyle w:val="ListBullet"/>
      </w:pPr>
      <w:r>
        <w:t>PR-06 (Gestión de Vulnerabilidades) · ID-04 (Plan de Tratamiento de Riesgos)</w:t>
      </w:r>
    </w:p>
    <w:p>
      <w:pPr>
        <w:pStyle w:val="ListBullet"/>
      </w:pPr>
      <w:r>
        <w:t>BCU-05 (Programa de Auditoría Interna) · URCDP-01 (Documento de Seguridad)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