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RS-02 · Procedimiento de Notificación y Comunicación de Incidentes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Responder (RS.CO — Comunicaciones)</w:t>
      </w:r>
    </w:p>
    <w:p>
      <w:pPr>
        <w:ind w:left="432"/>
      </w:pPr>
      <w:r>
        <w:rPr>
          <w:i/>
          <w:color w:val="606060"/>
        </w:rPr>
        <w:t>**ISO/IEC 27001:** A.5.24 (Gestión de incidentes)</w:t>
      </w:r>
    </w:p>
    <w:p>
      <w:pPr>
        <w:ind w:left="432"/>
      </w:pPr>
      <w:r>
        <w:rPr>
          <w:i/>
          <w:color w:val="606060"/>
        </w:rPr>
        <w:t>**BCU:** Circular 2227 (riesgo operativo)</w:t>
      </w:r>
    </w:p>
    <w:p>
      <w:pPr>
        <w:ind w:left="432"/>
      </w:pPr>
      <w:r>
        <w:rPr>
          <w:i/>
          <w:color w:val="606060"/>
        </w:rPr>
        <w:t>**URCDP:** **Ley 19.670 art. 38 · Decreto 64/020 arts. 3-4** (plazos críticos de notificación)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procedimiento define </w:t>
      </w:r>
      <w:r>
        <w:rPr>
          <w:b/>
        </w:rPr>
        <w:t>a quién, cómo y en qué plazo</w:t>
      </w:r>
      <w:r>
        <w:t xml:space="preserve"> se comunica un incidente de seguridad, tanto hacia adentro del Banco como hacia los organismos de control y los titulares de datos. Es el documento con los plazos más exigentes del SGSI, porque la normativa uruguaya es estricta: la </w:t>
      </w:r>
      <w:r>
        <w:rPr>
          <w:b/>
        </w:rPr>
        <w:t>URCDP</w:t>
      </w:r>
      <w:r>
        <w:t xml:space="preserve"> debe recibir la comunicación de una vulneración de datos personales en un máximo de </w:t>
      </w:r>
      <w:r>
        <w:rPr>
          <w:b/>
        </w:rPr>
        <w:t>72 horas</w:t>
      </w:r>
      <w:r>
        <w:t xml:space="preserve"> desde que se tiene conocimiento, y los procedimientos para minimizar el impacto deben iniciarse dentro de las </w:t>
      </w:r>
      <w:r>
        <w:rPr>
          <w:b/>
        </w:rPr>
        <w:t>primeras 24 horas</w:t>
      </w:r>
      <w:r>
        <w:t xml:space="preserve"> (art. 38 de la Ley 19.670 y Decreto 64/020).</w:t>
      </w:r>
    </w:p>
    <w:p>
      <w:r>
        <w:t xml:space="preserve">No se trata solo de cumplir plazos: una comunicación mal hecha agrava la crisis (multas, daño reputacional, pérdida de confianza de clientes y del público). El Banco, como banco público, tiene además un canal natural con el BCU (eventos de riesgo operativo, Circular 2227) y con </w:t>
      </w:r>
      <w:r>
        <w:rPr>
          <w:b/>
        </w:rPr>
        <w:t>CERTuy</w:t>
      </w:r>
      <w:r>
        <w:t>, que coordina el curso de acción ante incidentes que afecten infraestructuras o servicios del Estado.</w:t>
      </w:r>
    </w:p>
    <w:p>
      <w:r>
        <w:t xml:space="preserve">Por eso la regla de oro es la </w:t>
      </w:r>
      <w:r>
        <w:rPr>
          <w:b/>
        </w:rPr>
        <w:t>preparación</w:t>
      </w:r>
      <w:r>
        <w:t>: las plantillas de notificación, los datos de contacto y la matriz de responsables deben estar listas antes del incidente. El RSI y el DPD deben poder notificar en horas, no en días.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RS.CO</w:t>
            </w:r>
          </w:p>
        </w:tc>
        <w:tc>
          <w:tcPr>
            <w:tcW w:type="dxa" w:w="3216"/>
          </w:tcPr>
          <w:p>
            <w:r/>
            <w:r>
              <w:t>Establecer y coordinar comunicaciones internas y externas durante la respuesta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A.5.24</w:t>
            </w:r>
          </w:p>
        </w:tc>
        <w:tc>
          <w:tcPr>
            <w:tcW w:type="dxa" w:w="3216"/>
          </w:tcPr>
          <w:p>
            <w:r/>
            <w:r>
              <w:t>Gestión de incidentes con comunicación a las partes interesadas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Reporte de eventos de riesgo operativo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Ley 19.670 art. 38 · Decreto 64/020 arts. 3-4</w:t>
            </w:r>
          </w:p>
        </w:tc>
        <w:tc>
          <w:tcPr>
            <w:tcW w:type="dxa" w:w="3216"/>
          </w:tcPr>
          <w:p>
            <w:r/>
            <w:r>
              <w:t>Iniciar procedimientos en 24 h; comunicación a la URCDP en máx. 72 h; comunicación a titulares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la matriz de notificación</w:t>
      </w:r>
      <w:r>
        <w:t xml:space="preserve"> con el RSI, el DPD, Servicios Jurídicos y Comunicaciones: quién notifica a cada destinatario (URCDP, BCU, CERTuy, titulares, prensa, dirección).</w:t>
      </w:r>
    </w:p>
    <w:p>
      <w:pPr>
        <w:pStyle w:val="ListNumber"/>
      </w:pPr>
      <w:r>
        <w:rPr>
          <w:b/>
        </w:rPr>
        <w:t>Cargá los contactos operativos</w:t>
      </w:r>
      <w:r>
        <w:t xml:space="preserve"> (URCDP, CERTuy, BCU, proveedores) con el RSI y verificalos trimestralmente.</w:t>
      </w:r>
    </w:p>
    <w:p>
      <w:pPr>
        <w:pStyle w:val="ListNumber"/>
      </w:pPr>
      <w:r>
        <w:rPr>
          <w:b/>
        </w:rPr>
        <w:t>Personalizá el contenido mínimo de la notificación</w:t>
      </w:r>
      <w:r>
        <w:t xml:space="preserve"> con el DPD, respetando el art. 38: naturaleza, datos afectados, titulares, impactos y medidas.</w:t>
      </w:r>
    </w:p>
    <w:p>
      <w:pPr>
        <w:pStyle w:val="ListNumber"/>
      </w:pPr>
      <w:r>
        <w:rPr>
          <w:b/>
        </w:rPr>
        <w:t>Fijá los responsables únicos de cada notificación</w:t>
      </w:r>
      <w:r>
        <w:t xml:space="preserve"> (RSI, DPD, Comunicaciones) para evitar notificaciones duplicadas o contradictorias.</w:t>
      </w:r>
    </w:p>
    <w:p>
      <w:pPr>
        <w:pStyle w:val="ListNumber"/>
      </w:pPr>
      <w:r>
        <w:rPr>
          <w:b/>
        </w:rPr>
        <w:t>Probalo en el simulacro</w:t>
      </w:r>
      <w:r>
        <w:t xml:space="preserve"> de RS-01: medí el tiempo real de notificación contra el límite de 72 h.</w:t>
      </w:r>
    </w:p>
    <w:p>
      <w:pPr>
        <w:pStyle w:val="ListNumber"/>
      </w:pPr>
      <w:r>
        <w:t xml:space="preserve">Consultá a </w:t>
      </w:r>
      <w:r>
        <w:rPr>
          <w:b/>
        </w:rPr>
        <w:t>Servicios Jurídicos Notariales</w:t>
      </w:r>
      <w:r>
        <w:t xml:space="preserve"> (Dr. Héctor Dotta) y al </w:t>
      </w:r>
      <w:r>
        <w:rPr>
          <w:b/>
        </w:rPr>
        <w:t>Oficial de Cumplimiento</w:t>
      </w:r>
      <w:r>
        <w:t xml:space="preserve"> para los casos con alcance penal o de fraude.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RS-02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Procedimiento de Notificación y Comunicación de Incidentes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DPD ·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Garantizar que todo incidente de seguridad se comunique a las partes interesadas correspondientes de forma oportuna, completa y coordinada, cumpliendo los plazos legales y protegiendo los intereses del Banco y de los titulares de datos.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todo incidente de seguridad del Banco [COMPLETAR: incluyendo los que afecten datos personales, sistema de pagos, servicios de banca y servicios tercerizados]. Distingue notificación de </w:t>
      </w:r>
      <w:r>
        <w:rPr>
          <w:b/>
        </w:rPr>
        <w:t>comunicación pública</w:t>
      </w:r>
      <w:r>
        <w:t xml:space="preserve"> (RC-03).</w:t>
      </w:r>
    </w:p>
    <w:p>
      <w:pPr>
        <w:pStyle w:val="Heading3"/>
      </w:pPr>
      <w:r>
        <w:rPr>
          <w:color w:val="1F3B63"/>
        </w:rPr>
        <w:t>3. Matriz de notificación (interna y externa)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Destinatario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Comité de Seguridad / Gerencia</w:t>
            </w:r>
          </w:p>
        </w:tc>
        <w:tc>
          <w:tcPr>
            <w:tcW w:type="dxa" w:w="2412"/>
          </w:tcPr>
          <w:p>
            <w:r/>
            <w:r>
              <w:t>Incidentes severidad alta y crítica</w:t>
            </w:r>
          </w:p>
        </w:tc>
        <w:tc>
          <w:tcPr>
            <w:tcW w:type="dxa" w:w="2412"/>
          </w:tcPr>
          <w:p>
            <w:r/>
            <w:r>
              <w:t>[COMPLETAR: 2 h]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Directorio</w:t>
            </w:r>
          </w:p>
        </w:tc>
        <w:tc>
          <w:tcPr>
            <w:tcW w:type="dxa" w:w="2412"/>
          </w:tcPr>
          <w:p>
            <w:r/>
            <w:r>
              <w:t>Incidentes críticos</w:t>
            </w:r>
          </w:p>
        </w:tc>
        <w:tc>
          <w:tcPr>
            <w:tcW w:type="dxa" w:w="2412"/>
          </w:tcPr>
          <w:p>
            <w:r/>
            <w:r>
              <w:t>[COMPLETAR: 24 h]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2412"/>
          </w:tcPr>
          <w:p>
            <w:r/>
            <w:r>
              <w:t>Cualquier indicio de vulneración de datos personales</w:t>
            </w:r>
          </w:p>
        </w:tc>
        <w:tc>
          <w:tcPr>
            <w:tcW w:type="dxa" w:w="2412"/>
          </w:tcPr>
          <w:p>
            <w:r/>
            <w:r>
              <w:t>Inmediato</w:t>
            </w:r>
          </w:p>
        </w:tc>
        <w:tc>
          <w:tcPr>
            <w:tcW w:type="dxa" w:w="2412"/>
          </w:tcPr>
          <w:p>
            <w:r/>
            <w:r>
              <w:t>RSI / detectores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2412"/>
          </w:tcPr>
          <w:p>
            <w:r/>
            <w:r>
              <w:t>Vulneración de datos personales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Máx. 72 h</w:t>
            </w:r>
            <w:r>
              <w:t xml:space="preserve"> desde el conocimiento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Titulares de datos</w:t>
            </w:r>
          </w:p>
        </w:tc>
        <w:tc>
          <w:tcPr>
            <w:tcW w:type="dxa" w:w="2412"/>
          </w:tcPr>
          <w:p>
            <w:r/>
            <w:r>
              <w:t>Vulneración con riesgo para los titulares</w:t>
            </w:r>
          </w:p>
        </w:tc>
        <w:tc>
          <w:tcPr>
            <w:tcW w:type="dxa" w:w="2412"/>
          </w:tcPr>
          <w:p>
            <w:r/>
            <w:r>
              <w:t>Inmediatamente y pormenorizadamente</w:t>
            </w:r>
          </w:p>
        </w:tc>
        <w:tc>
          <w:tcPr>
            <w:tcW w:type="dxa" w:w="2412"/>
          </w:tcPr>
          <w:p>
            <w:r/>
            <w:r>
              <w:t>DPD + Comunicaciones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CERTuy</w:t>
            </w:r>
          </w:p>
        </w:tc>
        <w:tc>
          <w:tcPr>
            <w:tcW w:type="dxa" w:w="2412"/>
          </w:tcPr>
          <w:p>
            <w:r/>
            <w:r>
              <w:t>Incidentes que afecten infraestructura/servicios del Estado o cuando la URCDP lo coordine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2412"/>
          </w:tcPr>
          <w:p>
            <w:r/>
            <w:r>
              <w:t>Eventos de riesgo operativo relevantes (Circular 2227)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Oficial de Cumplimiento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Fuerzas de seguridad / justicia</w:t>
            </w:r>
          </w:p>
        </w:tc>
        <w:tc>
          <w:tcPr>
            <w:tcW w:type="dxa" w:w="2412"/>
          </w:tcPr>
          <w:p>
            <w:r/>
            <w:r>
              <w:t>Delitos (fraude, intrusión)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Legal</w:t>
            </w:r>
          </w:p>
        </w:tc>
      </w:tr>
    </w:tbl>
    <w:p>
      <w:pPr>
        <w:pStyle w:val="Heading3"/>
      </w:pPr>
      <w:r>
        <w:rPr>
          <w:color w:val="1F3B63"/>
        </w:rPr>
        <w:t>4. Contenido mínimo de la notificación a la URCDP</w:t>
      </w:r>
    </w:p>
    <w:p>
      <w:pPr>
        <w:pStyle w:val="ListBullet"/>
      </w:pPr>
      <w:r>
        <w:t xml:space="preserve">Fecha cierta o estimada de la vulneración y su </w:t>
      </w:r>
      <w:r>
        <w:rPr>
          <w:b/>
        </w:rPr>
        <w:t>naturaleza</w:t>
      </w:r>
      <w:r>
        <w:t>.</w:t>
      </w:r>
    </w:p>
    <w:p>
      <w:pPr>
        <w:pStyle w:val="ListBullet"/>
      </w:pPr>
      <w:r>
        <w:rPr>
          <w:b/>
        </w:rPr>
        <w:t>Datos personales afectados</w:t>
      </w:r>
      <w:r>
        <w:t xml:space="preserve"> y titulares involucrados.</w:t>
      </w:r>
    </w:p>
    <w:p>
      <w:pPr>
        <w:pStyle w:val="ListBullet"/>
      </w:pPr>
      <w:r>
        <w:rPr>
          <w:b/>
        </w:rPr>
        <w:t>Impactos</w:t>
      </w:r>
      <w:r>
        <w:t xml:space="preserve"> potenciales.</w:t>
      </w:r>
    </w:p>
    <w:p>
      <w:pPr>
        <w:pStyle w:val="ListBullet"/>
      </w:pPr>
      <w:r>
        <w:rPr>
          <w:b/>
        </w:rPr>
        <w:t>Medidas adoptadas o a adoptar</w:t>
      </w:r>
      <w:r>
        <w:t xml:space="preserve"> para mitigar y corregir.</w:t>
      </w:r>
    </w:p>
    <w:p>
      <w:pPr>
        <w:pStyle w:val="Heading3"/>
      </w:pPr>
      <w:r>
        <w:rPr>
          <w:color w:val="1F3B63"/>
        </w:rPr>
        <w:t>5. Responsables de la notificación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Notificación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Responsable único</w:t>
            </w:r>
          </w:p>
        </w:tc>
      </w:tr>
      <w:tr>
        <w:tc>
          <w:tcPr>
            <w:tcW w:type="dxa" w:w="4824"/>
          </w:tcPr>
          <w:p>
            <w:r/>
            <w:r>
              <w:t>URCDP</w:t>
            </w:r>
          </w:p>
        </w:tc>
        <w:tc>
          <w:tcPr>
            <w:tcW w:type="dxa" w:w="4824"/>
          </w:tcPr>
          <w:p>
            <w:r/>
            <w:r>
              <w:t>DPD</w:t>
            </w:r>
          </w:p>
        </w:tc>
      </w:tr>
      <w:tr>
        <w:tc>
          <w:tcPr>
            <w:tcW w:type="dxa" w:w="4824"/>
          </w:tcPr>
          <w:p>
            <w:r/>
            <w:r>
              <w:t>Titulares</w:t>
            </w:r>
          </w:p>
        </w:tc>
        <w:tc>
          <w:tcPr>
            <w:tcW w:type="dxa" w:w="4824"/>
          </w:tcPr>
          <w:p>
            <w:r/>
            <w:r>
              <w:t>DPD, en coordinación con Comunicaciones</w:t>
            </w:r>
          </w:p>
        </w:tc>
      </w:tr>
      <w:tr>
        <w:tc>
          <w:tcPr>
            <w:tcW w:type="dxa" w:w="4824"/>
          </w:tcPr>
          <w:p>
            <w:r/>
            <w:r>
              <w:t>BCU</w:t>
            </w:r>
          </w:p>
        </w:tc>
        <w:tc>
          <w:tcPr>
            <w:tcW w:type="dxa" w:w="4824"/>
          </w:tcPr>
          <w:p>
            <w:r/>
            <w:r>
              <w:t>Oficial de Cumplimiento</w:t>
            </w:r>
          </w:p>
        </w:tc>
      </w:tr>
      <w:tr>
        <w:tc>
          <w:tcPr>
            <w:tcW w:type="dxa" w:w="4824"/>
          </w:tcPr>
          <w:p>
            <w:r/>
            <w:r>
              <w:t>CERTuy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t>Prensa / público</w:t>
            </w:r>
          </w:p>
        </w:tc>
        <w:tc>
          <w:tcPr>
            <w:tcW w:type="dxa" w:w="4824"/>
          </w:tcPr>
          <w:p>
            <w:r/>
            <w:r>
              <w:t>Comunicaciones (ver RC-03)</w:t>
            </w:r>
          </w:p>
        </w:tc>
      </w:tr>
    </w:tbl>
    <w:p>
      <w:r>
        <w:t xml:space="preserve">Ninguna notificación externa se realiza sin la validación previa de </w:t>
      </w:r>
      <w:r>
        <w:rPr>
          <w:b/>
        </w:rPr>
        <w:t>Legal</w:t>
      </w:r>
      <w:r>
        <w:t>.</w:t>
      </w:r>
    </w:p>
    <w:p>
      <w:pPr>
        <w:pStyle w:val="Heading3"/>
      </w:pPr>
      <w:r>
        <w:rPr>
          <w:color w:val="1F3B63"/>
        </w:rPr>
        <w:t>6. Plantilla de comunicado</w:t>
      </w:r>
    </w:p>
    <w:p>
      <w:pPr>
        <w:pStyle w:val="Heading3"/>
      </w:pPr>
      <w:r>
        <w:rPr>
          <w:color w:val="1F3B63"/>
        </w:rPr>
        <w:t>7. Registro y control</w:t>
      </w:r>
    </w:p>
    <w:p>
      <w:r>
        <w:t>Toda notificación se registra en el Registro de Incidentes (RS-01) con: fecha/hora de envío, destinatario, medio y copia del contenido. Los registros se conservan conforme a DE-01 y a las normas de retención aplicables.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Caso: acceso no autorizado a la base de datos de clientes (ejemplo):</w:t>
      </w:r>
    </w:p>
    <w:p>
      <w:pPr>
        <w:pStyle w:val="ListBullet"/>
      </w:pPr>
      <w:r>
        <w:t xml:space="preserve">08:00 — Se detecta una exportación anómala de la base de clientes (DE-02). El RSI clasifica como incidente crítico y </w:t>
      </w:r>
      <w:r>
        <w:rPr>
          <w:b/>
        </w:rPr>
        <w:t>activa el reloj de 72 h</w:t>
      </w:r>
      <w:r>
        <w:t>.</w:t>
      </w:r>
    </w:p>
    <w:p>
      <w:pPr>
        <w:pStyle w:val="ListBullet"/>
      </w:pPr>
      <w:r>
        <w:t xml:space="preserve">08:15 — Se informa al DPD (inmediato). El DPD confirma que hay </w:t>
      </w:r>
      <w:r>
        <w:rPr>
          <w:b/>
        </w:rPr>
        <w:t>datos personales</w:t>
      </w:r>
      <w:r>
        <w:t xml:space="preserve"> (nombres, cédulas, datos de contacto y de préstamos) → </w:t>
      </w:r>
      <w:r>
        <w:rPr>
          <w:b/>
        </w:rPr>
        <w:t>vulneración de datos</w:t>
      </w:r>
      <w:r>
        <w:t>.</w:t>
      </w:r>
    </w:p>
    <w:p>
      <w:pPr>
        <w:pStyle w:val="ListBullet"/>
      </w:pPr>
      <w:r>
        <w:t xml:space="preserve">08:30 — Se inician los procedimientos de minimización (bloqueo de credenciales, revisión de respaldos) dentro de la </w:t>
      </w:r>
      <w:r>
        <w:rPr>
          <w:b/>
        </w:rPr>
        <w:t>primera hora</w:t>
      </w:r>
      <w:r>
        <w:t xml:space="preserve"> (cumple el límite de 24 h del art. 38).</w:t>
      </w:r>
    </w:p>
    <w:p>
      <w:pPr>
        <w:pStyle w:val="ListBullet"/>
      </w:pPr>
      <w:r>
        <w:t xml:space="preserve">12:00 — El equipo de investigación confirma alcance: ~40.000 titulares. El DPD prepara la notificación a la </w:t>
      </w:r>
      <w:r>
        <w:rPr>
          <w:b/>
        </w:rPr>
        <w:t>URCDP</w:t>
      </w:r>
      <w:r>
        <w:t>.</w:t>
      </w:r>
    </w:p>
    <w:p>
      <w:pPr>
        <w:pStyle w:val="ListBullet"/>
      </w:pPr>
      <w:r>
        <w:t>15:00 — Se envía la notificación a la URCDP (7 horas desde el conocimiento, muy por debajo del máximo de 72 h). Se coordina con CERTuy el curso de acción.</w:t>
      </w:r>
    </w:p>
    <w:p>
      <w:pPr>
        <w:pStyle w:val="ListBullet"/>
      </w:pPr>
      <w:r>
        <w:t>Día 2 — Comunicación pormenorizada a los titulares afectados (correo y sitio web) con recomendaciones, validada por Legal. Se evalúa el informe a prensa según RC-03.</w:t>
      </w:r>
    </w:p>
    <w:p>
      <w:pPr>
        <w:pStyle w:val="ListBullet"/>
      </w:pPr>
      <w:r>
        <w:t>Día 3 — El Oficial de Cumplimiento reporta el evento de riesgo operativo al BCU. Informe final al Directorio.</w:t>
      </w:r>
    </w:p>
    <w:p>
      <w:r>
        <w:rPr>
          <w:b/>
        </w:rPr>
        <w:t>Contactos a verificar (ejemplo):</w:t>
      </w:r>
      <w:r>
        <w:t xml:space="preserve"> sistema de gestión de la URCDP (notificación en línea), CERTuy (csirt@gub.uy), BCU (Superintendencia de Instituciones Financieras), proveedor del SIEM.</w:t>
      </w:r>
    </w:p>
    <w:p>
      <w:r>
        <w:rPr>
          <w:b/>
        </w:rPr>
        <w:t>Documentos relacionados:</w:t>
      </w:r>
    </w:p>
    <w:p>
      <w:pPr>
        <w:pStyle w:val="ListBullet"/>
      </w:pPr>
      <w:r>
        <w:t>RS-01 (Respuesta a Incidentes) · RS-03 (Forense)</w:t>
      </w:r>
    </w:p>
    <w:p>
      <w:pPr>
        <w:pStyle w:val="ListBullet"/>
      </w:pPr>
      <w:r>
        <w:t>RC-03 (Comunicación de Crisis) · URCDP-02 (Notificación de Vulneraciones)</w:t>
      </w:r>
    </w:p>
    <w:p>
      <w:pPr>
        <w:pStyle w:val="ListBullet"/>
      </w:pPr>
      <w:r>
        <w:t>BCU-01 (Gobierno de Ciberseguridad) · PR-02 (Concientización)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