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RS-03 · Análisis Forense y Preservación de Evidencia del Banco</w:t>
      </w:r>
    </w:p>
    <w:p>
      <w:pPr>
        <w:ind w:left="432"/>
      </w:pPr>
      <w:r>
        <w:rPr>
          <w:i/>
          <w:color w:val="606060"/>
        </w:rPr>
        <w:t>⚠️ **Alerta:** este documento menciona **nombres propios del organigrama del Banco** (personas y cargos, abril 2026). Antes de usar el documento, verificá la vigencia de esos nombres contra el organigrama actual.</w:t>
      </w:r>
    </w:p>
    <w:p>
      <w:pPr>
        <w:ind w:left="432"/>
      </w:pPr>
      <w:r>
        <w:rPr>
          <w:i/>
          <w:color w:val="606060"/>
        </w:rPr>
        <w:t>**Función del MCU 5.0:** Responder (RS.AN — Análisis)</w:t>
      </w:r>
    </w:p>
    <w:p>
      <w:pPr>
        <w:ind w:left="432"/>
      </w:pPr>
      <w:r>
        <w:rPr>
          <w:i/>
          <w:color w:val="606060"/>
        </w:rPr>
        <w:t>**ISO/IEC 27001:** A.5.28 (Recolección de evidencia)</w:t>
      </w:r>
    </w:p>
    <w:p>
      <w:pPr>
        <w:ind w:left="432"/>
      </w:pPr>
      <w:r>
        <w:rPr>
          <w:i/>
          <w:color w:val="606060"/>
        </w:rPr>
        <w:t>**BCU:** Circular 2227 (riesgo operativo) · RNRCSF (investigaciones de fraude)</w:t>
      </w:r>
    </w:p>
    <w:p>
      <w:pPr>
        <w:ind w:left="432"/>
      </w:pPr>
      <w:r>
        <w:rPr>
          <w:i/>
          <w:color w:val="606060"/>
        </w:rPr>
        <w:t>**URCDP:** Ley 18.331 art. 10 · Ley 19.670 art. 38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Este procedimiento define cómo el Banco recolecta, preserva y analiza la </w:t>
      </w:r>
      <w:r>
        <w:rPr>
          <w:b/>
        </w:rPr>
        <w:t>evidencia digital</w:t>
      </w:r>
      <w:r>
        <w:t xml:space="preserve"> de un incidente de forma tal que sea íntegra, admisible y defendible. Cuando un incidente puede terminar en una sanción del BCU, una denuncia penal (fraude bancario, acceso ilegítimo a datos, sabotaje) o una reclamación de un cliente, lo que se hizo con los datos en las primeras horas determina si esa evidencia vale o no.</w:t>
      </w:r>
    </w:p>
    <w:p>
      <w:r>
        <w:t xml:space="preserve">El principio central es la </w:t>
      </w:r>
      <w:r>
        <w:rPr>
          <w:b/>
        </w:rPr>
        <w:t>no alteración</w:t>
      </w:r>
      <w:r>
        <w:t xml:space="preserve">: cualquier acción del equipo de respuesta puede destruir evidencia (apagar un servidor, reinstalar un sistema, borrar un archivo). Por eso, antes de contener o limpiar, se preservan copias forenses (imágenes bit a bit), se calculan hashes y se documenta la </w:t>
      </w:r>
      <w:r>
        <w:rPr>
          <w:b/>
        </w:rPr>
        <w:t>cadena de custodia</w:t>
      </w:r>
      <w:r>
        <w:t>: quién tocó qué, cuándo y por qué.</w:t>
      </w:r>
    </w:p>
    <w:p>
      <w:r>
        <w:t>En el Banco, la evidencia digital es útil tanto para investigaciones internas (un funcionario que accede a datos de clientes sin autorización) como para la defensa del banco ante reclamaciones y para el apoyo a la justicia penal. La confidencialidad del proceso es clave: solo participan quienes lo necesitan, y todo se documenta.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Norma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exige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MCU 5.0 (Agesic)</w:t>
            </w:r>
          </w:p>
        </w:tc>
        <w:tc>
          <w:tcPr>
            <w:tcW w:type="dxa" w:w="3216"/>
          </w:tcPr>
          <w:p>
            <w:r/>
            <w:r>
              <w:t>RS.AN</w:t>
            </w:r>
          </w:p>
        </w:tc>
        <w:tc>
          <w:tcPr>
            <w:tcW w:type="dxa" w:w="3216"/>
          </w:tcPr>
          <w:p>
            <w:r/>
            <w:r>
              <w:t>Análisis de incidentes con preservación y documentación de la evidencia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ISO/IEC 27001:2022</w:t>
            </w:r>
          </w:p>
        </w:tc>
        <w:tc>
          <w:tcPr>
            <w:tcW w:type="dxa" w:w="3216"/>
          </w:tcPr>
          <w:p>
            <w:r/>
            <w:r>
              <w:t>A.5.28</w:t>
            </w:r>
          </w:p>
        </w:tc>
        <w:tc>
          <w:tcPr>
            <w:tcW w:type="dxa" w:w="3216"/>
          </w:tcPr>
          <w:p>
            <w:r/>
            <w:r>
              <w:t>Recolección y custodia de evidencia conforme a requisitos legales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BCU</w:t>
            </w:r>
          </w:p>
        </w:tc>
        <w:tc>
          <w:tcPr>
            <w:tcW w:type="dxa" w:w="3216"/>
          </w:tcPr>
          <w:p>
            <w:r/>
            <w:r>
              <w:t>Circular 2227</w:t>
            </w:r>
          </w:p>
        </w:tc>
        <w:tc>
          <w:tcPr>
            <w:tcW w:type="dxa" w:w="3216"/>
          </w:tcPr>
          <w:p>
            <w:r/>
            <w:r>
              <w:t>Investigación de eventos de riesgo operativo y fraude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URCDP</w:t>
            </w:r>
          </w:p>
        </w:tc>
        <w:tc>
          <w:tcPr>
            <w:tcW w:type="dxa" w:w="3216"/>
          </w:tcPr>
          <w:p>
            <w:r/>
            <w:r>
              <w:t>Ley 18.331 art. 10 · Ley 19.670 art. 38</w:t>
            </w:r>
          </w:p>
        </w:tc>
        <w:tc>
          <w:tcPr>
            <w:tcW w:type="dxa" w:w="3216"/>
          </w:tcPr>
          <w:p>
            <w:r/>
            <w:r>
              <w:t>Preservar evidencia para la comunicación y defensa de los titulares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Definí los roles de forense</w:t>
      </w:r>
      <w:r>
        <w:t xml:space="preserve"> con el RSI y Servicios Jurídicos: forense interno (División TI/Riesgos) o externo (contrato con especialista forense), con criterios de cuándo se convoca a cada uno.</w:t>
      </w:r>
    </w:p>
    <w:p>
      <w:pPr>
        <w:pStyle w:val="ListNumber"/>
      </w:pPr>
      <w:r>
        <w:rPr>
          <w:b/>
        </w:rPr>
        <w:t>Documentá las técnicas de preservación</w:t>
      </w:r>
      <w:r>
        <w:t xml:space="preserve"> con la División TI: copias forenses, hashes (SHA-256), registro de tiempo y equipos de captura (write-blockers).</w:t>
      </w:r>
    </w:p>
    <w:p>
      <w:pPr>
        <w:pStyle w:val="ListNumber"/>
      </w:pPr>
      <w:r>
        <w:rPr>
          <w:b/>
        </w:rPr>
        <w:t>Definí la lista de evidencia a preservar</w:t>
      </w:r>
      <w:r>
        <w:t xml:space="preserve"> según el tipo de incidente: logs (DE-01), imágenes de disco, memoria, tráfico de red, correo.</w:t>
      </w:r>
    </w:p>
    <w:p>
      <w:pPr>
        <w:pStyle w:val="ListNumber"/>
      </w:pPr>
      <w:r>
        <w:rPr>
          <w:b/>
        </w:rPr>
        <w:t>Establecé la cadena de custodia</w:t>
      </w:r>
      <w:r>
        <w:t xml:space="preserve"> con Legal: formulario, responsables y custodia física del material.</w:t>
      </w:r>
    </w:p>
    <w:p>
      <w:pPr>
        <w:pStyle w:val="ListNumber"/>
      </w:pPr>
      <w:r>
        <w:rPr>
          <w:b/>
        </w:rPr>
        <w:t>Pautá la coordinación con autoridades</w:t>
      </w:r>
      <w:r>
        <w:t xml:space="preserve"> con Legal: cuándo y cómo se entrega evidencia a la justicia, policía técnica, BCU o URCDP.</w:t>
      </w:r>
    </w:p>
    <w:p>
      <w:pPr>
        <w:pStyle w:val="ListNumber"/>
      </w:pPr>
      <w:r>
        <w:t xml:space="preserve">Consultá a </w:t>
      </w:r>
      <w:r>
        <w:rPr>
          <w:b/>
        </w:rPr>
        <w:t>Auditoría Interna</w:t>
      </w:r>
      <w:r>
        <w:t xml:space="preserve"> (Cr. Marcelo Jorge) para casos de fraude interno y a </w:t>
      </w:r>
      <w:r>
        <w:rPr>
          <w:b/>
        </w:rPr>
        <w:t>Capital Humano</w:t>
      </w:r>
      <w:r>
        <w:t xml:space="preserve"> para investigaciones disciplinarias de funcionarios.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RS-03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Análisis Forense y Preservación de Evidencia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División Servicios Jurídicos Notariales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Directorio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Confidencial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>Recolectar, preservar y analizar la evidencia digital de los incidentes de seguridad de forma íntegra, documentada y admisible, para apoyar la respuesta (RS-01), las obligaciones legales (RS-02) y las acciones disciplinarias, administrativas o penales que correspondan.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[COMPLETAR: todo incidente de severidad alta o crítica, fraude, acceso no autorizado a datos personales y denuncias]. La evidencia abarca sistemas propios y, cuando corresponda, equipos de funcionarios y registros de terceros.</w:t>
      </w:r>
    </w:p>
    <w:p>
      <w:pPr>
        <w:pStyle w:val="Heading3"/>
      </w:pPr>
      <w:r>
        <w:rPr>
          <w:color w:val="1F3B63"/>
        </w:rPr>
        <w:t>3. Principios de preservación</w:t>
      </w:r>
    </w:p>
    <w:p>
      <w:pPr>
        <w:pStyle w:val="ListBullet"/>
      </w:pPr>
      <w:r>
        <w:rPr>
          <w:b/>
        </w:rPr>
        <w:t>No alterar la evidencia:</w:t>
      </w:r>
      <w:r>
        <w:t xml:space="preserve"> ninguna acción técnica sobre el sistema afectado sin evaluar primero su impacto probatorio.</w:t>
      </w:r>
    </w:p>
    <w:p>
      <w:pPr>
        <w:pStyle w:val="ListBullet"/>
      </w:pPr>
      <w:r>
        <w:rPr>
          <w:b/>
        </w:rPr>
        <w:t>Copias forenses:</w:t>
      </w:r>
      <w:r>
        <w:t xml:space="preserve"> trabajar siempre sobre copias bit a bit; el original queda sellado y custodiado.</w:t>
      </w:r>
    </w:p>
    <w:p>
      <w:pPr>
        <w:pStyle w:val="ListBullet"/>
      </w:pPr>
      <w:r>
        <w:rPr>
          <w:b/>
        </w:rPr>
        <w:t>Hashes:</w:t>
      </w:r>
      <w:r>
        <w:t xml:space="preserve"> calcular y registrar el hash (SHA-256) de cada evidencia antes y después del análisis.</w:t>
      </w:r>
    </w:p>
    <w:p>
      <w:pPr>
        <w:pStyle w:val="ListBullet"/>
      </w:pPr>
      <w:r>
        <w:rPr>
          <w:b/>
        </w:rPr>
        <w:t>Cadena de custodia:</w:t>
      </w:r>
      <w:r>
        <w:t xml:space="preserve"> documentar cada transferencia de custodia con nombre, fecha, hora y motivo.</w:t>
      </w:r>
    </w:p>
    <w:p>
      <w:pPr>
        <w:pStyle w:val="ListBullet"/>
      </w:pPr>
      <w:r>
        <w:rPr>
          <w:b/>
        </w:rPr>
        <w:t>Registro de relojes:</w:t>
      </w:r>
      <w:r>
        <w:t xml:space="preserve"> verificar la sincronización de tiempo (DE-01) para que las marcas de tiempo sean confiables.</w:t>
      </w:r>
    </w:p>
    <w:p>
      <w:pPr>
        <w:pStyle w:val="Heading3"/>
      </w:pPr>
      <w:r>
        <w:rPr>
          <w:color w:val="1F3B63"/>
        </w:rPr>
        <w:t>4. Qué evidencia preservar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Tipo de incidente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 prioritaria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Intrusión / malware</w:t>
            </w:r>
          </w:p>
        </w:tc>
        <w:tc>
          <w:tcPr>
            <w:tcW w:type="dxa" w:w="4824"/>
          </w:tcPr>
          <w:p>
            <w:r/>
            <w:r>
              <w:t>Imagen de disco y memoria del/los equipo/s afectados, logs del SIEM, tráfico de red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Acceso no autorizado a datos</w:t>
            </w:r>
          </w:p>
        </w:tc>
        <w:tc>
          <w:tcPr>
            <w:tcW w:type="dxa" w:w="4824"/>
          </w:tcPr>
          <w:p>
            <w:r/>
            <w:r>
              <w:t>Logs de autenticación y de base de datos, sesiones activas, auditoría del IAM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Fraude / transferencia inusual</w:t>
            </w:r>
          </w:p>
        </w:tc>
        <w:tc>
          <w:tcPr>
            <w:tcW w:type="dxa" w:w="4824"/>
          </w:tcPr>
          <w:p>
            <w:r/>
            <w:r>
              <w:t>Registros transaccionales, evidencia del sistema de pagos, correos y mensajes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Phishing / ingeniería social</w:t>
            </w:r>
          </w:p>
        </w:tc>
        <w:tc>
          <w:tcPr>
            <w:tcW w:type="dxa" w:w="4824"/>
          </w:tcPr>
          <w:p>
            <w:r/>
            <w:r>
              <w:t>Correos originales (cabeceras completas), sitios imitación, registros de apertura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Denuncia interna</w:t>
            </w:r>
          </w:p>
        </w:tc>
        <w:tc>
          <w:tcPr>
            <w:tcW w:type="dxa" w:w="4824"/>
          </w:tcPr>
          <w:p>
            <w:r/>
            <w:r>
              <w:t>Registros de acceso del funcionario, correo, dispositivos de la estación de trabajo</w:t>
            </w:r>
          </w:p>
        </w:tc>
      </w:tr>
    </w:tbl>
    <w:p>
      <w:pPr>
        <w:pStyle w:val="Heading3"/>
      </w:pPr>
      <w:r>
        <w:rPr>
          <w:color w:val="1F3B63"/>
        </w:rPr>
        <w:t>5. Roles del análisis forense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Titular sugerido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Coordinador forense</w:t>
            </w:r>
          </w:p>
        </w:tc>
        <w:tc>
          <w:tcPr>
            <w:tcW w:type="dxa" w:w="3216"/>
          </w:tcPr>
          <w:p>
            <w:r/>
            <w:r>
              <w:t>RSI</w:t>
            </w:r>
          </w:p>
        </w:tc>
        <w:tc>
          <w:tcPr>
            <w:tcW w:type="dxa" w:w="3216"/>
          </w:tcPr>
          <w:p>
            <w:r/>
            <w:r>
              <w:t>Decide qué se preserva, convoca y coordina el proceso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Forense interno</w:t>
            </w:r>
          </w:p>
        </w:tc>
        <w:tc>
          <w:tcPr>
            <w:tcW w:type="dxa" w:w="3216"/>
          </w:tcPr>
          <w:p>
            <w:r/>
            <w:r>
              <w:t>División TI (perfil designado)</w:t>
            </w:r>
          </w:p>
        </w:tc>
        <w:tc>
          <w:tcPr>
            <w:tcW w:type="dxa" w:w="3216"/>
          </w:tcPr>
          <w:p>
            <w:r/>
            <w:r>
              <w:t>Ejecuta preservación y análisis en casos de severidad media/baja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Forense externo</w:t>
            </w:r>
          </w:p>
        </w:tc>
        <w:tc>
          <w:tcPr>
            <w:tcW w:type="dxa" w:w="3216"/>
          </w:tcPr>
          <w:p>
            <w:r/>
            <w:r>
              <w:t>Proveedor contratado</w:t>
            </w:r>
          </w:p>
        </w:tc>
        <w:tc>
          <w:tcPr>
            <w:tcW w:type="dxa" w:w="3216"/>
          </w:tcPr>
          <w:p>
            <w:r/>
            <w:r>
              <w:t>Casos complejos, sensibles o con impacto legal, con autorización escrita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Legal</w:t>
            </w:r>
          </w:p>
        </w:tc>
        <w:tc>
          <w:tcPr>
            <w:tcW w:type="dxa" w:w="3216"/>
          </w:tcPr>
          <w:p>
            <w:r/>
            <w:r>
              <w:t>División Servicios Jurídicos</w:t>
            </w:r>
          </w:p>
        </w:tc>
        <w:tc>
          <w:tcPr>
            <w:tcW w:type="dxa" w:w="3216"/>
          </w:tcPr>
          <w:p>
            <w:r/>
            <w:r>
              <w:t>Valida la cadena de custodia y la entrega a autoridades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DPD</w:t>
            </w:r>
          </w:p>
        </w:tc>
        <w:tc>
          <w:tcPr>
            <w:tcW w:type="dxa" w:w="3216"/>
          </w:tcPr>
          <w:p>
            <w:r/>
            <w:r>
              <w:t>Delegado de Protección de Datos</w:t>
            </w:r>
          </w:p>
        </w:tc>
        <w:tc>
          <w:tcPr>
            <w:tcW w:type="dxa" w:w="3216"/>
          </w:tcPr>
          <w:p>
            <w:r/>
            <w:r>
              <w:t>Determina el alcance de datos personales afectados</w:t>
            </w:r>
          </w:p>
        </w:tc>
      </w:tr>
    </w:tbl>
    <w:p>
      <w:pPr>
        <w:pStyle w:val="Heading3"/>
      </w:pPr>
      <w:r>
        <w:rPr>
          <w:color w:val="1F3B63"/>
        </w:rPr>
        <w:t>6. Coordinación con autoridades</w:t>
      </w:r>
    </w:p>
    <w:p>
      <w:r>
        <w:t>[COMPLETAR: criterios para dar intervención a la justicia, la Policía Técnica, el BCU o la URCDP; la entrega de evidencia se hace siempre a través de Legal y con oficio/resolución según corresponda]. El forense prepara el informe técnico que acompañará la comunicación.</w:t>
      </w:r>
    </w:p>
    <w:p>
      <w:pPr>
        <w:pStyle w:val="Heading3"/>
      </w:pPr>
      <w:r>
        <w:rPr>
          <w:color w:val="1F3B63"/>
        </w:rPr>
        <w:t>7. Confidencialidad del proceso</w:t>
      </w:r>
    </w:p>
    <w:p>
      <w:r>
        <w:t xml:space="preserve">El proceso forense es </w:t>
      </w:r>
      <w:r>
        <w:rPr>
          <w:b/>
        </w:rPr>
        <w:t>confidencial</w:t>
      </w:r>
      <w:r>
        <w:t>: solo participan los roles autorizados; los resultados se comunican por canales seguros; el material de evidencia se custodia en lugar con acceso restringido y registrado. El incumplimiento de la confidencialidad se trata conforme al régimen disciplinario del Banco.</w:t>
      </w:r>
    </w:p>
    <w:p>
      <w:pPr>
        <w:pStyle w:val="Heading3"/>
      </w:pPr>
      <w:r>
        <w:rPr>
          <w:color w:val="1F3B63"/>
        </w:rPr>
        <w:t>8. 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inicial (borrador)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del Directorio</w:t>
            </w:r>
          </w:p>
        </w:tc>
        <w:tc>
          <w:tcPr>
            <w:tcW w:type="dxa" w:w="1930"/>
          </w:tcPr>
          <w:p>
            <w:r/>
            <w:r>
              <w:t>RSI · Legal</w:t>
            </w:r>
          </w:p>
        </w:tc>
        <w:tc>
          <w:tcPr>
            <w:tcW w:type="dxa" w:w="1930"/>
          </w:tcPr>
          <w:p>
            <w:r/>
            <w:r>
              <w:t>Directorio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ilustrativo. Adaptá a la operación real del Banco.</w:t>
      </w:r>
    </w:p>
    <w:p>
      <w:r>
        <w:rPr>
          <w:b/>
        </w:rPr>
        <w:t>Caso: acceso indebido de un funcionario a datos de clientes (ejemplo):</w:t>
      </w:r>
    </w:p>
    <w:p>
      <w:pPr>
        <w:pStyle w:val="ListBullet"/>
      </w:pPr>
      <w:r>
        <w:t>El DPD recibe una denuncia de un cliente que encontró datos propios en poder de un tercero. Se abre investigación.</w:t>
      </w:r>
    </w:p>
    <w:p>
      <w:pPr>
        <w:pStyle w:val="ListBullet"/>
      </w:pPr>
      <w:r>
        <w:rPr>
          <w:b/>
        </w:rPr>
        <w:t>Preservación:</w:t>
      </w:r>
      <w:r>
        <w:t xml:space="preserve"> el RSI ordena congelar los registros de acceso del funcionario sospechoso: se extraen los logs del IAM y del SGBD y se calcula el hash SHA-256 de cada exportación; se registra la cadena de custodia.</w:t>
      </w:r>
    </w:p>
    <w:p>
      <w:pPr>
        <w:pStyle w:val="ListBullet"/>
      </w:pPr>
      <w:r>
        <w:rPr>
          <w:b/>
        </w:rPr>
        <w:t>Análisis:</w:t>
      </w:r>
      <w:r>
        <w:t xml:space="preserve"> el forense interno verifica que el funcionario consultó 1.500 fichas de clientes entre [fechas], fuera de su función, con horarios y sesiones coincidentes con su usuario.</w:t>
      </w:r>
    </w:p>
    <w:p>
      <w:pPr>
        <w:pStyle w:val="ListBullet"/>
      </w:pPr>
      <w:r>
        <w:rPr>
          <w:b/>
        </w:rPr>
        <w:t>Coordinación:</w:t>
      </w:r>
      <w:r>
        <w:t xml:space="preserve"> Legal evalúa la relevancia penal (art. 302 y ss. C.P., acceso ilegítimo) y coordina con la Policía Técnica la entrega de la evidencia con oficio. El DPD evalúa si corresponde comunicar la vulneración a la URCDP (RS-02): se determina que no hubo fuga fuera del banco, pero igual se documenta la decisión.</w:t>
      </w:r>
    </w:p>
    <w:p>
      <w:pPr>
        <w:pStyle w:val="ListBullet"/>
      </w:pPr>
      <w:r>
        <w:rPr>
          <w:b/>
        </w:rPr>
        <w:t>Confidencialidad:</w:t>
      </w:r>
      <w:r>
        <w:t xml:space="preserve"> el caso se manejó solo entre RSI, DPD, Legal y Capital Humano; los resultados del informe se conservan bajo acceso restringido.</w:t>
      </w:r>
    </w:p>
    <w:p>
      <w:r>
        <w:rPr>
          <w:b/>
        </w:rPr>
        <w:t>Caso: intrusión externa (ejemplo):</w:t>
      </w:r>
      <w:r>
        <w:t xml:space="preserve"> ante una intrusión detectada por el SIEM, antes de "limpiar" el servidor se realiza la imagen forense con write-blocker; el original se custodia sellado. El informe forense se adjunta a la notificación al BCU y a la eventual denuncia penal.</w:t>
      </w:r>
    </w:p>
    <w:p>
      <w:r>
        <w:rPr>
          <w:b/>
        </w:rPr>
        <w:t>Documentos relacionados:</w:t>
      </w:r>
    </w:p>
    <w:p>
      <w:pPr>
        <w:pStyle w:val="ListBullet"/>
      </w:pPr>
      <w:r>
        <w:t>RS-01 (Respuesta a Incidentes) · RS-02 (Notificación)</w:t>
      </w:r>
    </w:p>
    <w:p>
      <w:pPr>
        <w:pStyle w:val="ListBullet"/>
      </w:pPr>
      <w:r>
        <w:t>DE-01 (Registros) · DE-02 (Detección)</w:t>
      </w:r>
    </w:p>
    <w:p>
      <w:pPr>
        <w:pStyle w:val="ListBullet"/>
      </w:pPr>
      <w:r>
        <w:t>PR-01 (Accesos) · URCDP-02 (Notificación de Vulneraciones)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