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RC-03 · Plan de Comunicación de Crisis del Banco</w:t>
      </w:r>
    </w:p>
    <w:p>
      <w:pPr>
        <w:ind w:left="432"/>
      </w:pPr>
      <w:r>
        <w:rPr>
          <w:i/>
          <w:color w:val="606060"/>
        </w:rPr>
        <w:t>⚠️ **Alerta:** este documento menciona **nombres propios del organigrama del Banco** (personas y cargos, abril 2026). Antes de usar el documento, verificá la vigencia de esos nombres contra el organigrama actual.</w:t>
      </w:r>
    </w:p>
    <w:p>
      <w:pPr>
        <w:ind w:left="432"/>
      </w:pPr>
      <w:r>
        <w:rPr>
          <w:i/>
          <w:color w:val="606060"/>
        </w:rPr>
        <w:t>**Función del MCU 5.0:** Recuperar (RC.CO — Comunicaciones de recuperación)</w:t>
      </w:r>
    </w:p>
    <w:p>
      <w:pPr>
        <w:ind w:left="432"/>
      </w:pPr>
      <w:r>
        <w:rPr>
          <w:i/>
          <w:color w:val="606060"/>
        </w:rPr>
        <w:t>**ISO/IEC 27001:** A.5.24 (Gestión de incidentes)</w:t>
      </w:r>
    </w:p>
    <w:p>
      <w:pPr>
        <w:ind w:left="432"/>
      </w:pPr>
      <w:r>
        <w:rPr>
          <w:i/>
          <w:color w:val="606060"/>
        </w:rPr>
        <w:t>**BCU:** Circular 2227 (riesgo operativo)</w:t>
      </w:r>
    </w:p>
    <w:p>
      <w:pPr>
        <w:ind w:left="432"/>
      </w:pPr>
      <w:r>
        <w:rPr>
          <w:i/>
          <w:color w:val="606060"/>
        </w:rPr>
        <w:t>**URCDP:** Ley 19.670 art. 38 · Decreto 64/020 (comunicación a titulares)</w:t>
      </w:r>
    </w:p>
    <w:p>
      <w:pPr>
        <w:ind w:left="432"/>
      </w:pPr>
      <w:r>
        <w:rPr>
          <w:i/>
          <w:color w:val="606060"/>
        </w:rPr>
        <w:t>**Nivel del curso:** 🟡 Practicar · 🔴 Dominar</w:t>
      </w:r>
    </w:p>
    <w:p>
      <w:pPr>
        <w:pStyle w:val="Heading2"/>
      </w:pPr>
      <w:r>
        <w:rPr>
          <w:color w:val="1F3B63"/>
        </w:rPr>
        <w:t>1. Qué es y por qué existe</w:t>
      </w:r>
    </w:p>
    <w:p>
      <w:r>
        <w:t xml:space="preserve">El </w:t>
      </w:r>
      <w:r>
        <w:rPr>
          <w:b/>
        </w:rPr>
        <w:t>Plan de Comunicación de Crisis</w:t>
      </w:r>
      <w:r>
        <w:t xml:space="preserve"> define cómo el Banco comunica durante una crisis de seguridad, para que los mensajes sean oportunos, veraces, coordinados y consistentes. Una crisis mal comunicada agrava el daño: los clientes no saben qué hacer, la prensa especula, los rumores crecen y la confianza en un banco público —su activo más valioso— se erosiona.</w:t>
      </w:r>
    </w:p>
    <w:p>
      <w:r>
        <w:t xml:space="preserve">El plan debe distinguir tres públicos con necesidades distintas: los </w:t>
      </w:r>
      <w:r>
        <w:rPr>
          <w:b/>
        </w:rPr>
        <w:t>internos</w:t>
      </w:r>
      <w:r>
        <w:t xml:space="preserve"> (funcionarios, que necesitan saber si deben trabajar y cómo), los </w:t>
      </w:r>
      <w:r>
        <w:rPr>
          <w:b/>
        </w:rPr>
        <w:t>institucionales</w:t>
      </w:r>
      <w:r>
        <w:t xml:space="preserve"> (URCDP, BCU, CERTuy, que tienen plazos legales y canales propios, ver RS-02) y los </w:t>
      </w:r>
      <w:r>
        <w:rPr>
          <w:b/>
        </w:rPr>
        <w:t>externos</w:t>
      </w:r>
      <w:r>
        <w:t xml:space="preserve"> (titulares de datos, clientes, prensa y público en general). La comunicación a los titulares de datos tiene además contenido y plazo legal: el art. 38 de la Ley 19.670 exige comunicarlos de forma inmediata y pormenorizada.</w:t>
      </w:r>
    </w:p>
    <w:p>
      <w:r>
        <w:t xml:space="preserve">La regla de oro es que </w:t>
      </w:r>
      <w:r>
        <w:rPr>
          <w:b/>
        </w:rPr>
        <w:t>una sola voz</w:t>
      </w:r>
      <w:r>
        <w:t xml:space="preserve"> comunique: se definen voceros autorizados, mensajes preparados y un comité de crisis que aprueba cada comunicado. Todo lo demás (URCDP, BCU) se canaliza por los procedimientos técnicos de RS-02.</w:t>
      </w:r>
    </w:p>
    <w:p>
      <w:pPr>
        <w:pStyle w:val="Heading2"/>
      </w:pPr>
      <w:r>
        <w:rPr>
          <w:color w:val="1F3B63"/>
        </w:rPr>
        <w:t>2. Marco de 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Norma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Referencia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Qué exige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MCU 5.0 (Agesic)</w:t>
            </w:r>
          </w:p>
        </w:tc>
        <w:tc>
          <w:tcPr>
            <w:tcW w:type="dxa" w:w="3216"/>
          </w:tcPr>
          <w:p>
            <w:r/>
            <w:r>
              <w:t>RC.CO</w:t>
            </w:r>
          </w:p>
        </w:tc>
        <w:tc>
          <w:tcPr>
            <w:tcW w:type="dxa" w:w="3216"/>
          </w:tcPr>
          <w:p>
            <w:r/>
            <w:r>
              <w:t>Coordinar las comunicaciones de recuperación con las partes interesadas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ISO/IEC 27001:2022</w:t>
            </w:r>
          </w:p>
        </w:tc>
        <w:tc>
          <w:tcPr>
            <w:tcW w:type="dxa" w:w="3216"/>
          </w:tcPr>
          <w:p>
            <w:r/>
            <w:r>
              <w:t>A.5.24</w:t>
            </w:r>
          </w:p>
        </w:tc>
        <w:tc>
          <w:tcPr>
            <w:tcW w:type="dxa" w:w="3216"/>
          </w:tcPr>
          <w:p>
            <w:r/>
            <w:r>
              <w:t>Comunicación con las partes interesadas durante incidentes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BCU</w:t>
            </w:r>
          </w:p>
        </w:tc>
        <w:tc>
          <w:tcPr>
            <w:tcW w:type="dxa" w:w="3216"/>
          </w:tcPr>
          <w:p>
            <w:r/>
            <w:r>
              <w:t>Circular 2227</w:t>
            </w:r>
          </w:p>
        </w:tc>
        <w:tc>
          <w:tcPr>
            <w:tcW w:type="dxa" w:w="3216"/>
          </w:tcPr>
          <w:p>
            <w:r/>
            <w:r>
              <w:t>Comunicación de eventos de riesgo operativo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URCDP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Ley 19.670 art. 38</w:t>
            </w:r>
            <w:r>
              <w:t xml:space="preserve"> · Decreto 64/020</w:t>
            </w:r>
          </w:p>
        </w:tc>
        <w:tc>
          <w:tcPr>
            <w:tcW w:type="dxa" w:w="3216"/>
          </w:tcPr>
          <w:p>
            <w:r/>
            <w:r>
              <w:t>Comunicación inmediata y pormenorizada a los titulares de datos</w:t>
            </w:r>
          </w:p>
        </w:tc>
      </w:tr>
    </w:tbl>
    <w:p>
      <w:pPr>
        <w:pStyle w:val="Heading2"/>
      </w:pPr>
      <w:r>
        <w:rPr>
          <w:color w:val="1F3B63"/>
        </w:rPr>
        <w:t>3. Cómo completar esta plantilla (guía de llenado)</w:t>
      </w:r>
    </w:p>
    <w:p>
      <w:pPr>
        <w:pStyle w:val="ListNumber"/>
      </w:pPr>
      <w:r>
        <w:rPr>
          <w:b/>
        </w:rPr>
        <w:t>Definí los escenarios de crisis</w:t>
      </w:r>
      <w:r>
        <w:t xml:space="preserve"> con el RSI y el Comité: filtración de datos, ransomware, indisponibilidad prolongada, fraude con clientes.</w:t>
      </w:r>
    </w:p>
    <w:p>
      <w:pPr>
        <w:pStyle w:val="ListNumber"/>
      </w:pPr>
      <w:r>
        <w:rPr>
          <w:b/>
        </w:rPr>
        <w:t>Designá voceros autorizados</w:t>
      </w:r>
      <w:r>
        <w:t xml:space="preserve"> con la Gerencia General y Comunicaciones: quién puede hablar, con qué mensajes y qué no se dice jamás.</w:t>
      </w:r>
    </w:p>
    <w:p>
      <w:pPr>
        <w:pStyle w:val="ListNumber"/>
      </w:pPr>
      <w:r>
        <w:rPr>
          <w:b/>
        </w:rPr>
        <w:t>Prepará plantillas de comunicado</w:t>
      </w:r>
      <w:r>
        <w:t xml:space="preserve"> por escenario con Comunicaciones y Legal: versiones cortas y detalladas.</w:t>
      </w:r>
    </w:p>
    <w:p>
      <w:pPr>
        <w:pStyle w:val="ListNumber"/>
      </w:pPr>
      <w:r>
        <w:rPr>
          <w:b/>
        </w:rPr>
        <w:t>Definí los mensajes internos</w:t>
      </w:r>
      <w:r>
        <w:t xml:space="preserve"> con Capital Humano y los jefes de área: instrucciones operativas a funcionarios y sucursales.</w:t>
      </w:r>
    </w:p>
    <w:p>
      <w:pPr>
        <w:pStyle w:val="ListNumber"/>
      </w:pPr>
      <w:r>
        <w:rPr>
          <w:b/>
        </w:rPr>
        <w:t>Coordiná la comunicación a titulares</w:t>
      </w:r>
      <w:r>
        <w:t xml:space="preserve"> con el DPD: contenido, plazos (art. 38) y canales (correo, SMS, sitio web, app).</w:t>
      </w:r>
    </w:p>
    <w:p>
      <w:pPr>
        <w:pStyle w:val="ListNumber"/>
      </w:pPr>
      <w:r>
        <w:t xml:space="preserve">Consultá a </w:t>
      </w:r>
      <w:r>
        <w:rPr>
          <w:b/>
        </w:rPr>
        <w:t>Servicios Jurídicos Notariales</w:t>
      </w:r>
      <w:r>
        <w:t xml:space="preserve"> (Dr. Héctor Dotta) para validar todo comunicado externo y a </w:t>
      </w:r>
      <w:r>
        <w:rPr>
          <w:b/>
        </w:rPr>
        <w:t>Comunicaciones</w:t>
      </w:r>
      <w:r>
        <w:t xml:space="preserve"> para la relación con prensa y redes.</w:t>
      </w:r>
    </w:p>
    <w:p>
      <w:pPr>
        <w:pStyle w:val="Heading2"/>
      </w:pPr>
      <w:r>
        <w:rPr>
          <w:color w:val="1F3B63"/>
        </w:rPr>
        <w:t>4. Plantilla del documento</w:t>
      </w: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RC-03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Plan de Comunicación de Crisis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RSI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Comunicaciones · DPD · Legal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Directorio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Uso interno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>Garantizar comunicaciones internas y externas coordinadas, veraces y oportunas durante una crisis de seguridad, protegiendo a los titulares de datos, a los funcionarios y la confianza pública en el Banco, y cumpliendo las obligaciones legales.</w:t>
      </w:r>
    </w:p>
    <w:p>
      <w:pPr>
        <w:pStyle w:val="Heading3"/>
      </w:pPr>
      <w:r>
        <w:rPr>
          <w:color w:val="1F3B63"/>
        </w:rPr>
        <w:t>2. Escenarios de crisis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Escenario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Ejemplo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Comunicación prioritaria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Filtración de datos</w:t>
            </w:r>
          </w:p>
        </w:tc>
        <w:tc>
          <w:tcPr>
            <w:tcW w:type="dxa" w:w="3216"/>
          </w:tcPr>
          <w:p>
            <w:r/>
            <w:r>
              <w:t>Fuga de datos personales de clientes</w:t>
            </w:r>
          </w:p>
        </w:tc>
        <w:tc>
          <w:tcPr>
            <w:tcW w:type="dxa" w:w="3216"/>
          </w:tcPr>
          <w:p>
            <w:r/>
            <w:r>
              <w:t>Titulares (art. 38) + URCDP + prensa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Ransomware</w:t>
            </w:r>
          </w:p>
        </w:tc>
        <w:tc>
          <w:tcPr>
            <w:tcW w:type="dxa" w:w="3216"/>
          </w:tcPr>
          <w:p>
            <w:r/>
            <w:r>
              <w:t>Cifrado de sistemas críticos</w:t>
            </w:r>
          </w:p>
        </w:tc>
        <w:tc>
          <w:tcPr>
            <w:tcW w:type="dxa" w:w="3216"/>
          </w:tcPr>
          <w:p>
            <w:r/>
            <w:r>
              <w:t>Clientes sobre servicios, funcionarios, BCU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Indisponibilidad prolongada</w:t>
            </w:r>
          </w:p>
        </w:tc>
        <w:tc>
          <w:tcPr>
            <w:tcW w:type="dxa" w:w="3216"/>
          </w:tcPr>
          <w:p>
            <w:r/>
            <w:r>
              <w:t>Caída de Banco En Línea por más de X horas</w:t>
            </w:r>
          </w:p>
        </w:tc>
        <w:tc>
          <w:tcPr>
            <w:tcW w:type="dxa" w:w="3216"/>
          </w:tcPr>
          <w:p>
            <w:r/>
            <w:r>
              <w:t>Clientes y prensa; instrucciones alternativas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Fraude con clientes</w:t>
            </w:r>
          </w:p>
        </w:tc>
        <w:tc>
          <w:tcPr>
            <w:tcW w:type="dxa" w:w="3216"/>
          </w:tcPr>
          <w:p>
            <w:r/>
            <w:r>
              <w:t>Transferencias no autorizadas</w:t>
            </w:r>
          </w:p>
        </w:tc>
        <w:tc>
          <w:tcPr>
            <w:tcW w:type="dxa" w:w="3216"/>
          </w:tcPr>
          <w:p>
            <w:r/>
            <w:r>
              <w:t>Afectados directos + BCU + eventualmente prensa</w:t>
            </w:r>
          </w:p>
        </w:tc>
      </w:tr>
    </w:tbl>
    <w:p>
      <w:pPr>
        <w:pStyle w:val="Heading3"/>
      </w:pPr>
      <w:r>
        <w:rPr>
          <w:color w:val="1F3B63"/>
        </w:rPr>
        <w:t>3. Comité de comunicación de crisis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Integrante sugerido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Función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Director de comunicaciones</w:t>
            </w:r>
          </w:p>
        </w:tc>
        <w:tc>
          <w:tcPr>
            <w:tcW w:type="dxa" w:w="3216"/>
          </w:tcPr>
          <w:p>
            <w:r/>
            <w:r>
              <w:t>[COMPLETAR: área de comunicación institucional]</w:t>
            </w:r>
          </w:p>
        </w:tc>
        <w:tc>
          <w:tcPr>
            <w:tcW w:type="dxa" w:w="3216"/>
          </w:tcPr>
          <w:p>
            <w:r/>
            <w:r>
              <w:t>Conduce la estrategia y aprueba mensajes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Vocero principal</w:t>
            </w:r>
          </w:p>
        </w:tc>
        <w:tc>
          <w:tcPr>
            <w:tcW w:type="dxa" w:w="3216"/>
          </w:tcPr>
          <w:p>
            <w:r/>
            <w:r>
              <w:t>[COMPLETAR: Gerencia General o quien designe]</w:t>
            </w:r>
          </w:p>
        </w:tc>
        <w:tc>
          <w:tcPr>
            <w:tcW w:type="dxa" w:w="3216"/>
          </w:tcPr>
          <w:p>
            <w:r/>
            <w:r>
              <w:t>Única voz autorizada ante prensa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RSI</w:t>
            </w:r>
          </w:p>
        </w:tc>
        <w:tc>
          <w:tcPr>
            <w:tcW w:type="dxa" w:w="3216"/>
          </w:tcPr>
          <w:p>
            <w:r/>
            <w:r>
              <w:t>RSI</w:t>
            </w:r>
          </w:p>
        </w:tc>
        <w:tc>
          <w:tcPr>
            <w:tcW w:type="dxa" w:w="3216"/>
          </w:tcPr>
          <w:p>
            <w:r/>
            <w:r>
              <w:t>Datos técnicos, severidad y estados de recuperación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DPD</w:t>
            </w:r>
          </w:p>
        </w:tc>
        <w:tc>
          <w:tcPr>
            <w:tcW w:type="dxa" w:w="3216"/>
          </w:tcPr>
          <w:p>
            <w:r/>
            <w:r>
              <w:t>DPD</w:t>
            </w:r>
          </w:p>
        </w:tc>
        <w:tc>
          <w:tcPr>
            <w:tcW w:type="dxa" w:w="3216"/>
          </w:tcPr>
          <w:p>
            <w:r/>
            <w:r>
              <w:t>Comunicación a titulares y URCDP (RS-02)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Legal</w:t>
            </w:r>
          </w:p>
        </w:tc>
        <w:tc>
          <w:tcPr>
            <w:tcW w:type="dxa" w:w="3216"/>
          </w:tcPr>
          <w:p>
            <w:r/>
            <w:r>
              <w:t>Servicios Jurídicos</w:t>
            </w:r>
          </w:p>
        </w:tc>
        <w:tc>
          <w:tcPr>
            <w:tcW w:type="dxa" w:w="3216"/>
          </w:tcPr>
          <w:p>
            <w:r/>
            <w:r>
              <w:t>Validación legal de todo comunicado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Capital Humano</w:t>
            </w:r>
          </w:p>
        </w:tc>
        <w:tc>
          <w:tcPr>
            <w:tcW w:type="dxa" w:w="3216"/>
          </w:tcPr>
          <w:p>
            <w:r/>
            <w:r>
              <w:t>División Capital Humano</w:t>
            </w:r>
          </w:p>
        </w:tc>
        <w:tc>
          <w:tcPr>
            <w:tcW w:type="dxa" w:w="3216"/>
          </w:tcPr>
          <w:p>
            <w:r/>
            <w:r>
              <w:t>Comunicación a funcionarios</w:t>
            </w:r>
          </w:p>
        </w:tc>
      </w:tr>
    </w:tbl>
    <w:p>
      <w:pPr>
        <w:pStyle w:val="Heading3"/>
      </w:pPr>
      <w:r>
        <w:rPr>
          <w:color w:val="1F3B63"/>
        </w:rPr>
        <w:t>4. Voceros autorizados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Público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Vocero</w:t>
            </w:r>
          </w:p>
        </w:tc>
      </w:tr>
      <w:tr>
        <w:tc>
          <w:tcPr>
            <w:tcW w:type="dxa" w:w="4824"/>
          </w:tcPr>
          <w:p>
            <w:r/>
            <w:r>
              <w:t>Prensa / público</w:t>
            </w:r>
          </w:p>
        </w:tc>
        <w:tc>
          <w:tcPr>
            <w:tcW w:type="dxa" w:w="4824"/>
          </w:tcPr>
          <w:p>
            <w:r/>
            <w:r>
              <w:t>[COMPLETAR: vocero principal]</w:t>
            </w:r>
          </w:p>
        </w:tc>
      </w:tr>
      <w:tr>
        <w:tc>
          <w:tcPr>
            <w:tcW w:type="dxa" w:w="4824"/>
          </w:tcPr>
          <w:p>
            <w:r/>
            <w:r>
              <w:t>Titulares de datos</w:t>
            </w:r>
          </w:p>
        </w:tc>
        <w:tc>
          <w:tcPr>
            <w:tcW w:type="dxa" w:w="4824"/>
          </w:tcPr>
          <w:p>
            <w:r/>
            <w:r>
              <w:t>DPD, en coordinación con Comunicaciones</w:t>
            </w:r>
          </w:p>
        </w:tc>
      </w:tr>
      <w:tr>
        <w:tc>
          <w:tcPr>
            <w:tcW w:type="dxa" w:w="4824"/>
          </w:tcPr>
          <w:p>
            <w:r/>
            <w:r>
              <w:t>Funcionarios</w:t>
            </w:r>
          </w:p>
        </w:tc>
        <w:tc>
          <w:tcPr>
            <w:tcW w:type="dxa" w:w="4824"/>
          </w:tcPr>
          <w:p>
            <w:r/>
            <w:r>
              <w:t>Gerencia + Capital Humano</w:t>
            </w:r>
          </w:p>
        </w:tc>
      </w:tr>
      <w:tr>
        <w:tc>
          <w:tcPr>
            <w:tcW w:type="dxa" w:w="4824"/>
          </w:tcPr>
          <w:p>
            <w:r/>
            <w:r>
              <w:t>URCDP / BCU / CERTuy</w:t>
            </w:r>
          </w:p>
        </w:tc>
        <w:tc>
          <w:tcPr>
            <w:tcW w:type="dxa" w:w="4824"/>
          </w:tcPr>
          <w:p>
            <w:r/>
            <w:r>
              <w:t>DPD / Oficial de Cumplimiento / RSI (RS-02)</w:t>
            </w:r>
          </w:p>
        </w:tc>
      </w:tr>
    </w:tbl>
    <w:p>
      <w:r>
        <w:rPr>
          <w:b/>
        </w:rPr>
        <w:t>Regla:</w:t>
      </w:r>
      <w:r>
        <w:t xml:space="preserve"> ningún funcionario distinto de los autorizados emite declaraciones públicas sobre la crisis. Toda consulta se deriva al vocero.</w:t>
      </w:r>
    </w:p>
    <w:p>
      <w:pPr>
        <w:pStyle w:val="Heading3"/>
      </w:pPr>
      <w:r>
        <w:rPr>
          <w:color w:val="1F3B63"/>
        </w:rPr>
        <w:t>5. Mensajes internos y externos</w:t>
      </w:r>
    </w:p>
    <w:p>
      <w:pPr>
        <w:pStyle w:val="ListBullet"/>
      </w:pPr>
      <w:r>
        <w:rPr>
          <w:b/>
        </w:rPr>
        <w:t>Internos:</w:t>
      </w:r>
      <w:r>
        <w:t xml:space="preserve"> estado de la situación, continuidad operativa, procedimientos a seguir, y canal de consultas. Se difunden por [COMPLETAR: intranet, correo institucional, comunicados de jefes].</w:t>
      </w:r>
    </w:p>
    <w:p>
      <w:pPr>
        <w:pStyle w:val="ListBullet"/>
      </w:pPr>
      <w:r>
        <w:rPr>
          <w:b/>
        </w:rPr>
        <w:t>Externos:</w:t>
      </w:r>
      <w:r>
        <w:t xml:space="preserve"> reconocimiento de la situación (sin detallar vulnerabilidades), acciones tomadas, canales de atención y recomendaciones. Se difunden por [COMPLETAR: sitio web, redes, prensa, call center].</w:t>
      </w:r>
    </w:p>
    <w:p>
      <w:pPr>
        <w:pStyle w:val="ListBullet"/>
      </w:pPr>
      <w:r>
        <w:rPr>
          <w:b/>
        </w:rPr>
        <w:t>Lo que no se comunica:</w:t>
      </w:r>
      <w:r>
        <w:t xml:space="preserve"> datos de clientes, detalles técnicos de la vulnerabilidad, información que comprometa la investigación forense (RS-03) o la seguridad.</w:t>
      </w:r>
    </w:p>
    <w:p>
      <w:pPr>
        <w:pStyle w:val="Heading3"/>
      </w:pPr>
      <w:r>
        <w:rPr>
          <w:color w:val="1F3B63"/>
        </w:rPr>
        <w:t>6. Comunicación a titulares de datos (URCDP)</w:t>
      </w:r>
    </w:p>
    <w:p>
      <w:r>
        <w:t xml:space="preserve">Cuando la crisis afecte datos personales, se comunica a los titulares de forma </w:t>
      </w:r>
      <w:r>
        <w:rPr>
          <w:b/>
        </w:rPr>
        <w:t>inmediata y pormenorizada</w:t>
      </w:r>
      <w:r>
        <w:t xml:space="preserve"> (art. 38 Ley 19.670): naturaleza de la vulneración, datos afectados, riesgos, medidas adoptadas y recomendaciones. Contenido y canal los define el DPD con la plantilla de RS-02.</w:t>
      </w:r>
    </w:p>
    <w:p>
      <w:pPr>
        <w:pStyle w:val="Heading3"/>
      </w:pPr>
      <w:r>
        <w:rPr>
          <w:color w:val="1F3B63"/>
        </w:rPr>
        <w:t>7. Plantillas de comunicado</w:t>
      </w:r>
    </w:p>
    <w:p>
      <w:r>
        <w:rPr>
          <w:b/>
        </w:rPr>
        <w:t>Comunicado breve (ejemplo):</w:t>
      </w:r>
    </w:p>
    <w:p>
      <w:r>
        <w:rPr>
          <w:b/>
        </w:rPr>
        <w:t>Comunicado de filtración a titulares (ejemplo):</w:t>
      </w:r>
      <w:r>
        <w:t xml:space="preserve"> seguir la plantilla de RS-02 (naturaleza, datos, impactos, medidas) adaptada a lenguaje claro para el público.</w:t>
      </w:r>
    </w:p>
    <w:p>
      <w:pPr>
        <w:pStyle w:val="Heading3"/>
      </w:pPr>
      <w:r>
        <w:rPr>
          <w:color w:val="1F3B63"/>
        </w:rPr>
        <w:t>8. Registro y control</w:t>
      </w:r>
    </w:p>
    <w:p>
      <w:r>
        <w:t>Toda comunicación se registra con fecha/hora, medio, audiencia y responsable. Las versiones finales se archivan con el expediente del incidente (RS-01). Después de la crisis, el análisis alimenta RC-04.</w:t>
      </w:r>
    </w:p>
    <w:p>
      <w:pPr>
        <w:pStyle w:val="Heading3"/>
      </w:pPr>
      <w:r>
        <w:rPr>
          <w:color w:val="1F3B63"/>
        </w:rPr>
        <w:t>9. Control de cambios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Cambio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Elaboró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Aprobó</w:t>
            </w:r>
          </w:p>
        </w:tc>
      </w:tr>
      <w:tr>
        <w:tc>
          <w:tcPr>
            <w:tcW w:type="dxa" w:w="1930"/>
          </w:tcPr>
          <w:p>
            <w:r/>
            <w:r>
              <w:t>0.1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Versión inicial (borrador)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—</w:t>
            </w:r>
          </w:p>
        </w:tc>
      </w:tr>
      <w:tr>
        <w:tc>
          <w:tcPr>
            <w:tcW w:type="dxa" w:w="1930"/>
          </w:tcPr>
          <w:p>
            <w:r/>
            <w:r>
              <w:t>1.0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Aprobación del Directorio</w:t>
            </w:r>
          </w:p>
        </w:tc>
        <w:tc>
          <w:tcPr>
            <w:tcW w:type="dxa" w:w="1930"/>
          </w:tcPr>
          <w:p>
            <w:r/>
            <w:r>
              <w:t>RSI</w:t>
            </w:r>
          </w:p>
        </w:tc>
        <w:tc>
          <w:tcPr>
            <w:tcW w:type="dxa" w:w="1930"/>
          </w:tcPr>
          <w:p>
            <w:r/>
            <w:r>
              <w:t>Directorio</w:t>
            </w:r>
          </w:p>
        </w:tc>
      </w:tr>
    </w:tbl>
    <w:p>
      <w:pPr>
        <w:pStyle w:val="Heading2"/>
      </w:pPr>
      <w:r>
        <w:rPr>
          <w:color w:val="1F3B63"/>
        </w:rPr>
        <w:t>5. Ejemplo aplicado al Banco (modelo de referencia)</w:t>
      </w:r>
    </w:p>
    <w:p>
      <w:r>
        <w:t>Ejemplo ilustrativo. Adaptá a la operación real del Banco.</w:t>
      </w:r>
    </w:p>
    <w:p>
      <w:r>
        <w:rPr>
          <w:b/>
        </w:rPr>
        <w:t>Caso: filtración de datos de clientes (ejemplo):</w:t>
      </w:r>
    </w:p>
    <w:p>
      <w:pPr>
        <w:pStyle w:val="ListBullet"/>
      </w:pPr>
      <w:r>
        <w:t>15:00 — Se confirma una filtración que afecta a ~40.000 titulares (ver RS-01/RS-02). El Comité de Crisis se reúne y aprueba la estrategia de comunicación.</w:t>
      </w:r>
    </w:p>
    <w:p>
      <w:pPr>
        <w:pStyle w:val="ListBullet"/>
      </w:pPr>
      <w:r>
        <w:t>15:30 — Comunicado interno: se informa a funcionarios y sucursales el estado, se da el guion de respuesta para consultas de clientes y se refuerza el protocolo de no divulgación.</w:t>
      </w:r>
    </w:p>
    <w:p>
      <w:pPr>
        <w:pStyle w:val="ListBullet"/>
      </w:pPr>
      <w:r>
        <w:t>16:00 — El DPD prepara la comunicación a los titulares afectados (correo/SMS y aviso en el sitio web y la app) con la plantilla de RS-02, validada por Legal.</w:t>
      </w:r>
    </w:p>
    <w:p>
      <w:pPr>
        <w:pStyle w:val="ListBullet"/>
      </w:pPr>
      <w:r>
        <w:t>17:00 — Comunicado externo breve en el sitio web: situación, medidas y canales de atención. Sin detalles técnicos.</w:t>
      </w:r>
    </w:p>
    <w:p>
      <w:pPr>
        <w:pStyle w:val="ListBullet"/>
      </w:pPr>
      <w:r>
        <w:t>Día 2 — El vocero principal atiende prensa con mensajes aprobados; redes sociales bajo monitoreo con respuestas estándar derivando a los canales oficiales.</w:t>
      </w:r>
    </w:p>
    <w:p>
      <w:pPr>
        <w:pStyle w:val="ListBullet"/>
      </w:pPr>
      <w:r>
        <w:t>Resultado: una sola voz, mensajes consistentes, cumplido el art. 38 (comunicación inmediata a titulares). El análisis post-crisis alimenta RC-04.</w:t>
      </w:r>
    </w:p>
    <w:p>
      <w:r>
        <w:rPr>
          <w:b/>
        </w:rPr>
        <w:t>Documentos relacionados:</w:t>
      </w:r>
    </w:p>
    <w:p>
      <w:pPr>
        <w:pStyle w:val="ListBullet"/>
      </w:pPr>
      <w:r>
        <w:t>RS-02 (Notificación de Incidentes) · RS-01 (Respuesta)</w:t>
      </w:r>
    </w:p>
    <w:p>
      <w:pPr>
        <w:pStyle w:val="ListBullet"/>
      </w:pPr>
      <w:r>
        <w:t>RC-01 (BCP) · RC-02 (DRP) · RC-04 (Lecciones Aprendidas)</w:t>
      </w:r>
    </w:p>
    <w:p>
      <w:pPr>
        <w:pStyle w:val="ListBullet"/>
      </w:pPr>
      <w:r>
        <w:t>URCDP-02 (Notificación de Vulneraciones) · PR-02 (Concientización)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