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RC-04 · Lecciones Aprendidas y Mejora Continua del SGSI del Banco</w:t>
      </w:r>
    </w:p>
    <w:p>
      <w:pPr>
        <w:ind w:left="432"/>
      </w:pPr>
      <w:r>
        <w:rPr>
          <w:i/>
          <w:color w:val="606060"/>
        </w:rPr>
        <w:t>⚠️ **Alerta:** este documento menciona **nombres propios del organigrama del Banco** (personas y cargos, abril 2026). Antes de usar el documento, verificá la vigencia de esos nombres contra el organigrama actual.</w:t>
      </w:r>
    </w:p>
    <w:p>
      <w:pPr>
        <w:ind w:left="432"/>
      </w:pPr>
      <w:r>
        <w:rPr>
          <w:i/>
          <w:color w:val="606060"/>
        </w:rPr>
        <w:t>**Función del MCU 5.0:** Identificar (ID.IM — Mejora) · Recuperar (RC.RP — Ejecución del plan de recuperación)</w:t>
      </w:r>
    </w:p>
    <w:p>
      <w:pPr>
        <w:ind w:left="432"/>
      </w:pPr>
      <w:r>
        <w:rPr>
          <w:i/>
          <w:color w:val="606060"/>
        </w:rPr>
        <w:t>**ISO/IEC 27001:** Cláusula 10 (Mejora) · A.5.24/A.5.25 (incidentes)</w:t>
      </w:r>
    </w:p>
    <w:p>
      <w:pPr>
        <w:ind w:left="432"/>
      </w:pPr>
      <w:r>
        <w:rPr>
          <w:i/>
          <w:color w:val="606060"/>
        </w:rPr>
        <w:t>**BCU:** Circular 2227 (riesgo operativo)</w:t>
      </w:r>
    </w:p>
    <w:p>
      <w:pPr>
        <w:ind w:left="432"/>
      </w:pPr>
      <w:r>
        <w:rPr>
          <w:i/>
          <w:color w:val="606060"/>
        </w:rPr>
        <w:t>**URCDP:** Ley 18.331 art. 10 · Ley 19.670 art. 38</w:t>
      </w:r>
    </w:p>
    <w:p>
      <w:pPr>
        <w:ind w:left="432"/>
      </w:pPr>
      <w:r>
        <w:rPr>
          <w:i/>
          <w:color w:val="606060"/>
        </w:rPr>
        <w:t>**Nivel del curso:** 🟢 Descubrir · 🟡 Practicar</w:t>
      </w:r>
    </w:p>
    <w:p>
      <w:pPr>
        <w:pStyle w:val="Heading2"/>
      </w:pPr>
      <w:r>
        <w:rPr>
          <w:color w:val="1F3B63"/>
        </w:rPr>
        <w:t>1. Qué es y por qué existe</w:t>
      </w:r>
    </w:p>
    <w:p>
      <w:r>
        <w:t xml:space="preserve">Este procedimiento cierra el ciclo de vida de un incidente o de un simulacro: convierte la experiencia en </w:t>
      </w:r>
      <w:r>
        <w:rPr>
          <w:b/>
        </w:rPr>
        <w:t>mejoras concretas</w:t>
      </w:r>
      <w:r>
        <w:t xml:space="preserve"> del SGSI. Sin lecciones aprendidas, el Banco repetiría los mismos errores en cada crisis: el mismo hallazgo del pentest, la misma demora en la notificación, la misma falla del plan que ya se detectó en el simulacro anterior.</w:t>
      </w:r>
    </w:p>
    <w:p>
      <w:r>
        <w:t>La mejora continua es un requisito explícito: la ISO/IEC 27001 (cláusula 10) exige corregir no conformidades y mejorar el SGSI; el MCU 5.0 (ID.IM) pide que los procesos de ciberseguridad se revisen y mejoren; y la Circular 2227 del BCU espera que los eventos de riesgo operativo produzcan acciones correctivas con seguimiento.</w:t>
      </w:r>
    </w:p>
    <w:p>
      <w:r>
        <w:t xml:space="preserve">El corazón del proceso es el </w:t>
      </w:r>
      <w:r>
        <w:rPr>
          <w:b/>
        </w:rPr>
        <w:t>informe de lecciones aprendidas</w:t>
      </w:r>
      <w:r>
        <w:t xml:space="preserve"> elaborado después de cada incidente o simulacro: qué pasó, por qué pasó (análisis de causa raíz), qué salió bien, qué salió mal y qué se va a cambiar. Las acciones se registran, se les asigna dueño y plazo, y se sigue su estado hasta el cierre en el Comité de Seguridad.</w:t>
      </w:r>
    </w:p>
    <w:p>
      <w:pPr>
        <w:pStyle w:val="Heading2"/>
      </w:pPr>
      <w:r>
        <w:rPr>
          <w:color w:val="1F3B63"/>
        </w:rPr>
        <w:t>2. Marco de 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Norma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exige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MCU 5.0 (Agesic)</w:t>
            </w:r>
          </w:p>
        </w:tc>
        <w:tc>
          <w:tcPr>
            <w:tcW w:type="dxa" w:w="3216"/>
          </w:tcPr>
          <w:p>
            <w:r/>
            <w:r>
              <w:t>ID.IM</w:t>
            </w:r>
          </w:p>
        </w:tc>
        <w:tc>
          <w:tcPr>
            <w:tcW w:type="dxa" w:w="3216"/>
          </w:tcPr>
          <w:p>
            <w:r/>
            <w:r>
              <w:t>Mejorar los procesos de ciberseguridad con base en la experiencia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ISO/IEC 27001:2022</w:t>
            </w:r>
          </w:p>
        </w:tc>
        <w:tc>
          <w:tcPr>
            <w:tcW w:type="dxa" w:w="3216"/>
          </w:tcPr>
          <w:p>
            <w:r/>
            <w:r>
              <w:t>Cláusula 10</w:t>
            </w:r>
          </w:p>
        </w:tc>
        <w:tc>
          <w:tcPr>
            <w:tcW w:type="dxa" w:w="3216"/>
          </w:tcPr>
          <w:p>
            <w:r/>
            <w:r>
              <w:t>Mejora continua: corrección de no conformidades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BCU</w:t>
            </w:r>
          </w:p>
        </w:tc>
        <w:tc>
          <w:tcPr>
            <w:tcW w:type="dxa" w:w="3216"/>
          </w:tcPr>
          <w:p>
            <w:r/>
            <w:r>
              <w:t>Circular 2227</w:t>
            </w:r>
          </w:p>
        </w:tc>
        <w:tc>
          <w:tcPr>
            <w:tcW w:type="dxa" w:w="3216"/>
          </w:tcPr>
          <w:p>
            <w:r/>
            <w:r>
              <w:t>Acciones correctivas derivadas de eventos de riesgo operativo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URCDP</w:t>
            </w:r>
          </w:p>
        </w:tc>
        <w:tc>
          <w:tcPr>
            <w:tcW w:type="dxa" w:w="3216"/>
          </w:tcPr>
          <w:p>
            <w:r/>
            <w:r>
              <w:t>Ley 18.331 art. 10 · Ley 19.670 art. 38</w:t>
            </w:r>
          </w:p>
        </w:tc>
        <w:tc>
          <w:tcPr>
            <w:tcW w:type="dxa" w:w="3216"/>
          </w:tcPr>
          <w:p>
            <w:r/>
            <w:r>
              <w:t>Adecuar las medidas de seguridad tras cada vulneración</w:t>
            </w:r>
          </w:p>
        </w:tc>
      </w:tr>
    </w:tbl>
    <w:p>
      <w:pPr>
        <w:pStyle w:val="Heading2"/>
      </w:pPr>
      <w:r>
        <w:rPr>
          <w:color w:val="1F3B63"/>
        </w:rPr>
        <w:t>3. Cómo completar esta plantilla (guía de llenado)</w:t>
      </w:r>
    </w:p>
    <w:p>
      <w:pPr>
        <w:pStyle w:val="ListNumber"/>
      </w:pPr>
      <w:r>
        <w:rPr>
          <w:b/>
        </w:rPr>
        <w:t>Disparadores del proceso</w:t>
      </w:r>
      <w:r>
        <w:t xml:space="preserve"> con el RSI: qué activa un informe de lecciones aprendidas (incidente real de severidad media o mayor, simulacro, hallazgo recurrente, no conformidad de auditoría).</w:t>
      </w:r>
    </w:p>
    <w:p>
      <w:pPr>
        <w:pStyle w:val="ListNumber"/>
      </w:pPr>
      <w:r>
        <w:rPr>
          <w:b/>
        </w:rPr>
        <w:t>Definí el análisis de causa raíz</w:t>
      </w:r>
      <w:r>
        <w:t xml:space="preserve"> con la División TI y los dueños de proceso: método (5 porqués, Ishikawa) y quién lo facilita.</w:t>
      </w:r>
    </w:p>
    <w:p>
      <w:pPr>
        <w:pStyle w:val="ListNumber"/>
      </w:pPr>
      <w:r>
        <w:rPr>
          <w:b/>
        </w:rPr>
        <w:t>Armá el plan de acciones</w:t>
      </w:r>
      <w:r>
        <w:t xml:space="preserve"> con el RSI: acciones correctivas y preventivas, dueño, plazo y prioridad.</w:t>
      </w:r>
    </w:p>
    <w:p>
      <w:pPr>
        <w:pStyle w:val="ListNumber"/>
      </w:pPr>
      <w:r>
        <w:rPr>
          <w:b/>
        </w:rPr>
        <w:t>Establecé el seguimiento</w:t>
      </w:r>
      <w:r>
        <w:t xml:space="preserve"> con el Comité de Seguridad: reporte periódico de estado hasta el cierre.</w:t>
      </w:r>
    </w:p>
    <w:p>
      <w:pPr>
        <w:pStyle w:val="ListNumber"/>
      </w:pPr>
      <w:r>
        <w:rPr>
          <w:b/>
        </w:rPr>
        <w:t>Definí los indicadores de mejora</w:t>
      </w:r>
      <w:r>
        <w:t xml:space="preserve"> con el RSI y la División Planificación Estratégica: métricas de incidentes y de madurez del SGSI.</w:t>
      </w:r>
    </w:p>
    <w:p>
      <w:pPr>
        <w:pStyle w:val="ListNumber"/>
      </w:pPr>
      <w:r>
        <w:t xml:space="preserve">Consultá a </w:t>
      </w:r>
      <w:r>
        <w:rPr>
          <w:b/>
        </w:rPr>
        <w:t>Auditoría Interna</w:t>
      </w:r>
      <w:r>
        <w:t xml:space="preserve"> (Cr. Marcelo Jorge) para integrar las no conformidades de auditoría y al </w:t>
      </w:r>
      <w:r>
        <w:rPr>
          <w:b/>
        </w:rPr>
        <w:t>DPD</w:t>
      </w:r>
      <w:r>
        <w:t xml:space="preserve"> cuando las lecciones toquen datos personales.</w:t>
      </w:r>
    </w:p>
    <w:p>
      <w:pPr>
        <w:pStyle w:val="Heading2"/>
      </w:pPr>
      <w:r>
        <w:rPr>
          <w:color w:val="1F3B63"/>
        </w:rPr>
        <w:t>4. Plantilla del documento</w:t>
      </w: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RC-04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Lecciones Aprendidas y Mejora Continua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Directorio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>Convertir la experiencia de incidentes, simulacros y auditorías en mejoras concretas y verificables del SGSI del Banco, mediante el análisis de causas, acciones correctivas y preventivas, y su seguimiento hasta el cierre.</w:t>
      </w:r>
    </w:p>
    <w:p>
      <w:pPr>
        <w:pStyle w:val="Heading3"/>
      </w:pPr>
      <w:r>
        <w:rPr>
          <w:color w:val="1F3B63"/>
        </w:rPr>
        <w:t>2. Disparadores del proceso</w:t>
      </w:r>
    </w:p>
    <w:p>
      <w:r>
        <w:t>Se elabora informe de lecciones aprendidas cuando:</w:t>
      </w:r>
    </w:p>
    <w:p>
      <w:pPr>
        <w:pStyle w:val="ListBullet"/>
      </w:pPr>
      <w:r>
        <w:t>Se produce un incidente de severidad [COMPLETAR: media o mayor] (RS-01).</w:t>
      </w:r>
    </w:p>
    <w:p>
      <w:pPr>
        <w:pStyle w:val="ListBullet"/>
      </w:pPr>
      <w:r>
        <w:t>Se ejecuta un simulacro de [COMPLETAR: BCP/DRP] con desvíos frente a RTO/RPO.</w:t>
      </w:r>
    </w:p>
    <w:p>
      <w:pPr>
        <w:pStyle w:val="ListBullet"/>
      </w:pPr>
      <w:r>
        <w:t>Una auditoría (interna, BCU, Agesic) detecta una no conformidad.</w:t>
      </w:r>
    </w:p>
    <w:p>
      <w:pPr>
        <w:pStyle w:val="ListBullet"/>
      </w:pPr>
      <w:r>
        <w:t>Se detecta un hallazgo recurrente en pruebas (DE-03) o en el monitoreo (DE-02).</w:t>
      </w:r>
    </w:p>
    <w:p>
      <w:pPr>
        <w:pStyle w:val="ListBullet"/>
      </w:pPr>
      <w:r>
        <w:t>[COMPLETAR: otros criterios definidos por el Comité].</w:t>
      </w:r>
    </w:p>
    <w:p>
      <w:pPr>
        <w:pStyle w:val="Heading3"/>
      </w:pPr>
      <w:r>
        <w:rPr>
          <w:color w:val="1F3B63"/>
        </w:rPr>
        <w:t>3. Informe de lecciones aprendidas (contenido)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Sección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Contenido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Resumen</w:t>
            </w:r>
          </w:p>
        </w:tc>
        <w:tc>
          <w:tcPr>
            <w:tcW w:type="dxa" w:w="4824"/>
          </w:tcPr>
          <w:p>
            <w:r/>
            <w:r>
              <w:t>Qué ocurrió, cuándo, impacto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Línea de tiempo</w:t>
            </w:r>
          </w:p>
        </w:tc>
        <w:tc>
          <w:tcPr>
            <w:tcW w:type="dxa" w:w="4824"/>
          </w:tcPr>
          <w:p>
            <w:r/>
            <w:r>
              <w:t>Hitos de detección, respuesta y recuperación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Análisis de causa raíz</w:t>
            </w:r>
          </w:p>
        </w:tc>
        <w:tc>
          <w:tcPr>
            <w:tcW w:type="dxa" w:w="4824"/>
          </w:tcPr>
          <w:p>
            <w:r/>
            <w:r>
              <w:t>Causas de fondo (no solo síntomas)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Qué funcionó</w:t>
            </w:r>
          </w:p>
        </w:tc>
        <w:tc>
          <w:tcPr>
            <w:tcW w:type="dxa" w:w="4824"/>
          </w:tcPr>
          <w:p>
            <w:r/>
            <w:r>
              <w:t>Controles y decisiones que evitaron más daño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Qué falló</w:t>
            </w:r>
          </w:p>
        </w:tc>
        <w:tc>
          <w:tcPr>
            <w:tcW w:type="dxa" w:w="4824"/>
          </w:tcPr>
          <w:p>
            <w:r/>
            <w:r>
              <w:t>Desvíos, demoras, controles inexistentes o ineficaces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Acciones correctivas</w:t>
            </w:r>
          </w:p>
        </w:tc>
        <w:tc>
          <w:tcPr>
            <w:tcW w:type="dxa" w:w="4824"/>
          </w:tcPr>
          <w:p>
            <w:r/>
            <w:r>
              <w:t>Qué se cambia, dueño, plazo, prioridad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Acciones preventivas</w:t>
            </w:r>
          </w:p>
        </w:tc>
        <w:tc>
          <w:tcPr>
            <w:tcW w:type="dxa" w:w="4824"/>
          </w:tcPr>
          <w:p>
            <w:r/>
            <w:r>
              <w:t>Cómo evitar la recurrencia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Indicadores de seguimiento</w:t>
            </w:r>
          </w:p>
        </w:tc>
        <w:tc>
          <w:tcPr>
            <w:tcW w:type="dxa" w:w="4824"/>
          </w:tcPr>
          <w:p>
            <w:r/>
            <w:r>
              <w:t>Métricas que demostrarán la mejora</w:t>
            </w:r>
          </w:p>
        </w:tc>
      </w:tr>
    </w:tbl>
    <w:p>
      <w:pPr>
        <w:pStyle w:val="Heading3"/>
      </w:pPr>
      <w:r>
        <w:rPr>
          <w:color w:val="1F3B63"/>
        </w:rPr>
        <w:t>4. Análisis de causa raíz</w:t>
      </w:r>
    </w:p>
    <w:p>
      <w:r>
        <w:t>Se aplica el método [COMPLETAR: 5 porqués / diagrama de Ishikawa] facilitado por el RSI, con participación de la División TI y los dueños de proceso afectados. El resultado distingue: causa técnica, causa de proceso y causa de gobernanza.</w:t>
      </w:r>
    </w:p>
    <w:p>
      <w:pPr>
        <w:pStyle w:val="Heading3"/>
      </w:pPr>
      <w:r>
        <w:rPr>
          <w:color w:val="1F3B63"/>
        </w:rPr>
        <w:t>5. Plan de acciones correctivas y preventivas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b/>
              </w:rPr>
              <w:t>N.º</w:t>
            </w:r>
          </w:p>
        </w:tc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b/>
              </w:rPr>
              <w:t>Acción</w:t>
            </w:r>
          </w:p>
        </w:tc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b/>
              </w:rPr>
              <w:t>Plazo</w:t>
            </w:r>
          </w:p>
        </w:tc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</w:tr>
      <w:tr>
        <w:tc>
          <w:tcPr>
            <w:tcW w:type="dxa" w:w="1378"/>
          </w:tcPr>
          <w:p>
            <w:r/>
            <w:r>
              <w:t>1</w:t>
            </w:r>
          </w:p>
        </w:tc>
        <w:tc>
          <w:tcPr>
            <w:tcW w:type="dxa" w:w="1378"/>
          </w:tcPr>
          <w:p>
            <w:r/>
            <w:r>
              <w:t>[COMPLETAR]</w:t>
            </w:r>
          </w:p>
        </w:tc>
        <w:tc>
          <w:tcPr>
            <w:tcW w:type="dxa" w:w="1378"/>
          </w:tcPr>
          <w:p>
            <w:r/>
            <w:r>
              <w:t>[Correctiva / Preventiva]</w:t>
            </w:r>
          </w:p>
        </w:tc>
        <w:tc>
          <w:tcPr>
            <w:tcW w:type="dxa" w:w="1378"/>
          </w:tcPr>
          <w:p>
            <w:r/>
            <w:r>
              <w:t>[COMPLETAR]</w:t>
            </w:r>
          </w:p>
        </w:tc>
        <w:tc>
          <w:tcPr>
            <w:tcW w:type="dxa" w:w="1378"/>
          </w:tcPr>
          <w:p>
            <w:r/>
            <w:r>
              <w:t>[COMPLETAR]</w:t>
            </w:r>
          </w:p>
        </w:tc>
        <w:tc>
          <w:tcPr>
            <w:tcW w:type="dxa" w:w="1378"/>
          </w:tcPr>
          <w:p>
            <w:r/>
            <w:r>
              <w:t>[Alta/Media]</w:t>
            </w:r>
          </w:p>
        </w:tc>
        <w:tc>
          <w:tcPr>
            <w:tcW w:type="dxa" w:w="1378"/>
          </w:tcPr>
          <w:p>
            <w:r/>
            <w:r>
              <w:t>[Abierta]</w:t>
            </w:r>
          </w:p>
        </w:tc>
      </w:tr>
      <w:tr>
        <w:tc>
          <w:tcPr>
            <w:tcW w:type="dxa" w:w="1378"/>
          </w:tcPr>
          <w:p>
            <w:r/>
            <w:r>
              <w:t>2</w:t>
            </w:r>
          </w:p>
        </w:tc>
        <w:tc>
          <w:tcPr>
            <w:tcW w:type="dxa" w:w="1378"/>
          </w:tcPr>
          <w:p>
            <w:r/>
            <w:r>
              <w:t>[COMPLETAR]</w:t>
            </w:r>
          </w:p>
        </w:tc>
        <w:tc>
          <w:tcPr>
            <w:tcW w:type="dxa" w:w="1378"/>
          </w:tcPr>
          <w:p>
            <w:r/>
            <w:r>
              <w:t>[Correctiva / Preventiva]</w:t>
            </w:r>
          </w:p>
        </w:tc>
        <w:tc>
          <w:tcPr>
            <w:tcW w:type="dxa" w:w="1378"/>
          </w:tcPr>
          <w:p>
            <w:r/>
            <w:r>
              <w:t>[COMPLETAR]</w:t>
            </w:r>
          </w:p>
        </w:tc>
        <w:tc>
          <w:tcPr>
            <w:tcW w:type="dxa" w:w="1378"/>
          </w:tcPr>
          <w:p>
            <w:r/>
            <w:r>
              <w:t>[COMPLETAR]</w:t>
            </w:r>
          </w:p>
        </w:tc>
        <w:tc>
          <w:tcPr>
            <w:tcW w:type="dxa" w:w="1378"/>
          </w:tcPr>
          <w:p>
            <w:r/>
            <w:r>
              <w:t>[COMPLETAR]</w:t>
            </w:r>
          </w:p>
        </w:tc>
        <w:tc>
          <w:tcPr>
            <w:tcW w:type="dxa" w:w="1378"/>
          </w:tcPr>
          <w:p>
            <w:r/>
            <w:r>
              <w:t>[COMPLETAR]</w:t>
            </w:r>
          </w:p>
        </w:tc>
      </w:tr>
    </w:tbl>
    <w:p>
      <w:pPr>
        <w:pStyle w:val="Heading3"/>
      </w:pPr>
      <w:r>
        <w:rPr>
          <w:color w:val="1F3B63"/>
        </w:rPr>
        <w:t>6. Seguimiento hasta el cierre</w:t>
      </w:r>
    </w:p>
    <w:p>
      <w:r>
        <w:t xml:space="preserve">El RSI mantiene el </w:t>
      </w:r>
      <w:r>
        <w:rPr>
          <w:b/>
        </w:rPr>
        <w:t>registro de acciones</w:t>
      </w:r>
      <w:r>
        <w:t xml:space="preserve"> y reporta su estado [COMPLETAR: mensualmente / en cada Comité]. Una acción se cierra cuando se evidencia su implementación (evidencia verificable) y, cuando corresponde, se verifica la efectividad [COMPLETAR: re-test, prueba, revisión].</w:t>
      </w:r>
    </w:p>
    <w:p>
      <w:pPr>
        <w:pStyle w:val="Heading3"/>
      </w:pPr>
      <w:r>
        <w:rPr>
          <w:color w:val="1F3B63"/>
        </w:rPr>
        <w:t>7. Actualización de políticas y planes</w:t>
      </w:r>
    </w:p>
    <w:p>
      <w:r>
        <w:t>Las lecciones aprendidas pueden modificar: políticas y procedimientos del SGSI (control de cambios de cada documento), planes de RS-01/RC-01/RC-02, reglas de detección de DE-02, y contenidos de capacitación (PR-02).</w:t>
      </w:r>
    </w:p>
    <w:p>
      <w:pPr>
        <w:pStyle w:val="Heading3"/>
      </w:pPr>
      <w:r>
        <w:rPr>
          <w:color w:val="1F3B63"/>
        </w:rPr>
        <w:t>8. Indicadores de mejora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Indicador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Fórmula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Meta</w:t>
            </w:r>
          </w:p>
        </w:tc>
      </w:tr>
      <w:tr>
        <w:tc>
          <w:tcPr>
            <w:tcW w:type="dxa" w:w="3216"/>
          </w:tcPr>
          <w:p>
            <w:r/>
            <w:r>
              <w:t>Tiempo medio de detección</w:t>
            </w:r>
          </w:p>
        </w:tc>
        <w:tc>
          <w:tcPr>
            <w:tcW w:type="dxa" w:w="3216"/>
          </w:tcPr>
          <w:p>
            <w:r/>
            <w:r>
              <w:t>Promedio de horas detección-incidencia</w:t>
            </w:r>
          </w:p>
        </w:tc>
        <w:tc>
          <w:tcPr>
            <w:tcW w:type="dxa" w:w="3216"/>
          </w:tcPr>
          <w:p>
            <w:r/>
            <w:r>
              <w:t>[COMPLETAR]</w:t>
            </w:r>
          </w:p>
        </w:tc>
      </w:tr>
      <w:tr>
        <w:tc>
          <w:tcPr>
            <w:tcW w:type="dxa" w:w="3216"/>
          </w:tcPr>
          <w:p>
            <w:r/>
            <w:r>
              <w:t>Tiempo medio de contención</w:t>
            </w:r>
          </w:p>
        </w:tc>
        <w:tc>
          <w:tcPr>
            <w:tcW w:type="dxa" w:w="3216"/>
          </w:tcPr>
          <w:p>
            <w:r/>
            <w:r>
              <w:t>Promedio de horas</w:t>
            </w:r>
          </w:p>
        </w:tc>
        <w:tc>
          <w:tcPr>
            <w:tcW w:type="dxa" w:w="3216"/>
          </w:tcPr>
          <w:p>
            <w:r/>
            <w:r>
              <w:t>[COMPLETAR]</w:t>
            </w:r>
          </w:p>
        </w:tc>
      </w:tr>
      <w:tr>
        <w:tc>
          <w:tcPr>
            <w:tcW w:type="dxa" w:w="3216"/>
          </w:tcPr>
          <w:p>
            <w:r/>
            <w:r>
              <w:t>% de acciones correctivas cerradas en plazo</w:t>
            </w:r>
          </w:p>
        </w:tc>
        <w:tc>
          <w:tcPr>
            <w:tcW w:type="dxa" w:w="3216"/>
          </w:tcPr>
          <w:p>
            <w:r/>
            <w:r>
              <w:t>Cerradas / total</w:t>
            </w:r>
          </w:p>
        </w:tc>
        <w:tc>
          <w:tcPr>
            <w:tcW w:type="dxa" w:w="3216"/>
          </w:tcPr>
          <w:p>
            <w:r/>
            <w:r>
              <w:t>[COMPLETAR: ≥ 90 %]</w:t>
            </w:r>
          </w:p>
        </w:tc>
      </w:tr>
      <w:tr>
        <w:tc>
          <w:tcPr>
            <w:tcW w:type="dxa" w:w="3216"/>
          </w:tcPr>
          <w:p>
            <w:r/>
            <w:r>
              <w:t>% de simulacros sin desvíos críticos</w:t>
            </w:r>
          </w:p>
        </w:tc>
        <w:tc>
          <w:tcPr>
            <w:tcW w:type="dxa" w:w="3216"/>
          </w:tcPr>
          <w:p>
            <w:r/>
            <w:r>
              <w:t>Aprobados / total</w:t>
            </w:r>
          </w:p>
        </w:tc>
        <w:tc>
          <w:tcPr>
            <w:tcW w:type="dxa" w:w="3216"/>
          </w:tcPr>
          <w:p>
            <w:r/>
            <w:r>
              <w:t>[COMPLETAR]</w:t>
            </w:r>
          </w:p>
        </w:tc>
      </w:tr>
      <w:tr>
        <w:tc>
          <w:tcPr>
            <w:tcW w:type="dxa" w:w="3216"/>
          </w:tcPr>
          <w:p>
            <w:r/>
            <w:r>
              <w:t>Nivel de madurez del MCU 5.0</w:t>
            </w:r>
          </w:p>
        </w:tc>
        <w:tc>
          <w:tcPr>
            <w:tcW w:type="dxa" w:w="3216"/>
          </w:tcPr>
          <w:p>
            <w:r/>
            <w:r>
              <w:t>Autoevaluación anual</w:t>
            </w:r>
          </w:p>
        </w:tc>
        <w:tc>
          <w:tcPr>
            <w:tcW w:type="dxa" w:w="3216"/>
          </w:tcPr>
          <w:p>
            <w:r/>
            <w:r>
              <w:t>[COMPLETAR: subir 1 nivel]</w:t>
            </w:r>
          </w:p>
        </w:tc>
      </w:tr>
    </w:tbl>
    <w:p>
      <w:pPr>
        <w:pStyle w:val="Heading3"/>
      </w:pPr>
      <w:r>
        <w:rPr>
          <w:color w:val="1F3B63"/>
        </w:rPr>
        <w:t>9. Revisión en el Comité</w:t>
      </w:r>
    </w:p>
    <w:p>
      <w:r>
        <w:t>El Comité de Seguridad revisa [COMPLETAR: semestralmente] los informes de lecciones aprendidas, prioriza las acciones de mayor impacto y eleva al Directorio el informe de estado del SGSI (GV-06).</w:t>
      </w:r>
    </w:p>
    <w:p>
      <w:pPr>
        <w:pStyle w:val="Heading3"/>
      </w:pPr>
      <w:r>
        <w:rPr>
          <w:color w:val="1F3B63"/>
        </w:rPr>
        <w:t>10. Control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Cambio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Elaboró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Aprobó</w:t>
            </w:r>
          </w:p>
        </w:tc>
      </w:tr>
      <w:tr>
        <w:tc>
          <w:tcPr>
            <w:tcW w:type="dxa" w:w="1930"/>
          </w:tcPr>
          <w:p>
            <w:r/>
            <w:r>
              <w:t>0.1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Versión inicial (borrador)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</w:tr>
      <w:tr>
        <w:tc>
          <w:tcPr>
            <w:tcW w:type="dxa" w:w="1930"/>
          </w:tcPr>
          <w:p>
            <w:r/>
            <w:r>
              <w:t>1.0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Aprobación del Directorio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Directorio</w:t>
            </w:r>
          </w:p>
        </w:tc>
      </w:tr>
    </w:tbl>
    <w:p>
      <w:pPr>
        <w:pStyle w:val="Heading2"/>
      </w:pPr>
      <w:r>
        <w:rPr>
          <w:color w:val="1F3B63"/>
        </w:rPr>
        <w:t>5. Ejemplo aplicado al Banco (modelo de referencia)</w:t>
      </w:r>
    </w:p>
    <w:p>
      <w:r>
        <w:t>Ejemplo ilustrativo. Adaptá a los incidentes y simulacros reales del Banco.</w:t>
      </w:r>
    </w:p>
    <w:p>
      <w:r>
        <w:rPr>
          <w:b/>
        </w:rPr>
        <w:t>Caso: simulacro de ransomware (ejemplo):</w:t>
      </w:r>
    </w:p>
    <w:p>
      <w:pPr>
        <w:pStyle w:val="ListBullet"/>
      </w:pPr>
      <w:r>
        <w:rPr>
          <w:b/>
        </w:rPr>
        <w:t>Resultado:</w:t>
      </w:r>
      <w:r>
        <w:t xml:space="preserve"> el simulacro de RS-01/RC-02 del [mes] mostró que la contención demoró 5 horas (objetivo 4 h) porque no estaba claro quién autorizaba el aislamiento del core.</w:t>
      </w:r>
    </w:p>
    <w:p>
      <w:pPr>
        <w:pStyle w:val="ListBullet"/>
      </w:pPr>
      <w:r>
        <w:rPr>
          <w:b/>
        </w:rPr>
        <w:t>Causa raíz (5 porqués):</w:t>
      </w:r>
      <w:r>
        <w:t xml:space="preserve"> demora en la decisión → no había procedimiento de aislamiento de emergencia → los roles del plan no incluían la autorización → el plan no se había ejercitado con ese caso.</w:t>
      </w:r>
    </w:p>
    <w:p>
      <w:pPr>
        <w:pStyle w:val="ListBullet"/>
      </w:pPr>
      <w:r>
        <w:rPr>
          <w:b/>
        </w:rPr>
        <w:t>Acciones correctivas:</w:t>
      </w:r>
      <w:r>
        <w:t xml:space="preserve"> se agregó al plan el rol de "autorizador de aislamiento" (Gerente Div. TI o suplente) con facultad de decidir sin comité; se actualizó RS-01 (control de cambios).</w:t>
      </w:r>
    </w:p>
    <w:p>
      <w:pPr>
        <w:pStyle w:val="ListBullet"/>
      </w:pPr>
      <w:r>
        <w:rPr>
          <w:b/>
        </w:rPr>
        <w:t>Acciones preventivas:</w:t>
      </w:r>
      <w:r>
        <w:t xml:space="preserve"> se incluyó el caso de ransomware en la campaña de concientización (PR-02) y se revisaron las reglas de detección de DE-02 para alertas tempranas.</w:t>
      </w:r>
    </w:p>
    <w:p>
      <w:pPr>
        <w:pStyle w:val="ListBullet"/>
      </w:pPr>
      <w:r>
        <w:rPr>
          <w:b/>
        </w:rPr>
        <w:t>Seguimiento:</w:t>
      </w:r>
      <w:r>
        <w:t xml:space="preserve"> las 3 acciones se cerraron en 30 días con evidencia; el simulacro siguiente (90 días) logró contención en 3 h 30 min.</w:t>
      </w:r>
    </w:p>
    <w:p>
      <w:pPr>
        <w:pStyle w:val="ListBullet"/>
      </w:pPr>
      <w:r>
        <w:rPr>
          <w:b/>
        </w:rPr>
        <w:t>Comité:</w:t>
      </w:r>
      <w:r>
        <w:t xml:space="preserve"> el caso se presentó en el Comité de Seguridad; el indicador "tiempo de contención" pasó de 5 h a 3 h 30 min y se informó la tendencia al Directorio (GV-06).</w:t>
      </w:r>
    </w:p>
    <w:p>
      <w:r>
        <w:rPr>
          <w:b/>
        </w:rPr>
        <w:t>Documentos relacionados:</w:t>
      </w:r>
    </w:p>
    <w:p>
      <w:pPr>
        <w:pStyle w:val="ListBullet"/>
      </w:pPr>
      <w:r>
        <w:t>RS-01 (Respuesta a Incidentes) · RS-02 (Notificación) · RS-03 (Forense)</w:t>
      </w:r>
    </w:p>
    <w:p>
      <w:pPr>
        <w:pStyle w:val="ListBullet"/>
      </w:pPr>
      <w:r>
        <w:t>RC-01 (BCP) · RC-02 (DRP) · RC-03 (Comunicación de Crisis)</w:t>
      </w:r>
    </w:p>
    <w:p>
      <w:pPr>
        <w:pStyle w:val="ListBullet"/>
      </w:pPr>
      <w:r>
        <w:t>GV-06 (Informe del RSI a la Dirección) · DE-02 (Detección) · PR-02 (Concientización)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