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BCU-02 · Marco de Gestión de Riesgos (Apetito y Adopción de Riesgo Tecnológico)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(GV.RM — Estrategia de riesgos) · Identificar (ID.RA — Evaluación de riesgos)</w:t>
      </w:r>
    </w:p>
    <w:p>
      <w:pPr>
        <w:ind w:left="432"/>
      </w:pPr>
      <w:r>
        <w:rPr>
          <w:i/>
          <w:color w:val="606060"/>
        </w:rPr>
        <w:t>**ISO/IEC 27001:** Cláusula 6.1 (Planificación) · ISO/IEC 27005 (gestión del riesgo)</w:t>
      </w:r>
    </w:p>
    <w:p>
      <w:pPr>
        <w:ind w:left="432"/>
      </w:pPr>
      <w:r>
        <w:rPr>
          <w:i/>
          <w:color w:val="606060"/>
        </w:rPr>
        <w:t>**BCU:** Estándares Mínimos de Gestión — Marco de gestión de riesgos · Circular 2227 (riesgo operativo)</w:t>
      </w:r>
    </w:p>
    <w:p>
      <w:pPr>
        <w:ind w:left="432"/>
      </w:pPr>
      <w:r>
        <w:rPr>
          <w:i/>
          <w:color w:val="606060"/>
        </w:rPr>
        <w:t>**URCDP:** Ley 18.331 art. 10 · Decreto 64/020 art. 6 lit. f (evaluación de impacto, caso de alto riesgo)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BCU exige que la gestión del riesgo tecnológico no sea una serie de controles aislados, sino un </w:t>
      </w:r>
      <w:r>
        <w:rPr>
          <w:b/>
        </w:rPr>
        <w:t>marco de gestión</w:t>
      </w:r>
      <w:r>
        <w:t xml:space="preserve"> con apetito, tolerancia, proceso formal y decisiones documentadas. Este documento define ese marco: cómo el Banco identifica, evalúa, mide, controla y monitorea los riesgos tecnológicos, y cómo adopta de manera consciente los riesgos residuales que decide aceptar.</w:t>
      </w:r>
    </w:p>
    <w:p>
      <w:r>
        <w:t xml:space="preserve">El concepto clave de los EMG es la </w:t>
      </w:r>
      <w:r>
        <w:rPr>
          <w:b/>
        </w:rPr>
        <w:t>adopción del riesgo</w:t>
      </w:r>
      <w:r>
        <w:t xml:space="preserve">: un riesgo no tratado plenamente no es una omisión, es una </w:t>
      </w:r>
      <w:r>
        <w:rPr>
          <w:b/>
        </w:rPr>
        <w:t>decisión de negocio</w:t>
      </w:r>
      <w:r>
        <w:t xml:space="preserve"> que debe quedar documentada, firmada al nivel adecuado y sujeta a seguimiento. La Circular 2227 integra el riesgo tecnológico dentro del riesgo operativo, por lo que este marco debe alinearse con la gestión de riesgo operativo del Área de Riesgos del Banco.</w:t>
      </w:r>
    </w:p>
    <w:p>
      <w:r>
        <w:t>Sin apetito de riesgo definido no hay manera de juzgar si un nivel de exposición es aceptable. Este documento, con BCU-01 (gobierno), BCU-03 (segunda línea) y la metodología ID-02/ID-03, forma el núcleo que el supervisor revisa ante cualquier incidente: qué riesgo estaba aceptado, quién lo aceptó y con qué fundamento.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GV.RM · ID.RA</w:t>
            </w:r>
          </w:p>
        </w:tc>
        <w:tc>
          <w:tcPr>
            <w:tcW w:type="dxa" w:w="3216"/>
          </w:tcPr>
          <w:p>
            <w:r/>
            <w:r>
              <w:t>Estrategia de riesgos alineada a los objetivos, evaluación y tratamiento continuo, registro de riesgos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6.1 · ISO/IEC 27005</w:t>
            </w:r>
          </w:p>
        </w:tc>
        <w:tc>
          <w:tcPr>
            <w:tcW w:type="dxa" w:w="3216"/>
          </w:tcPr>
          <w:p>
            <w:r/>
            <w:r>
              <w:t>Proceso sistemático de identificación, análisis, evaluación y tratamiento; criterios de aceptación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Marco de gestión de riesgos · Circular 2227</w:t>
            </w:r>
          </w:p>
        </w:tc>
        <w:tc>
          <w:tcPr>
            <w:tcW w:type="dxa" w:w="3216"/>
          </w:tcPr>
          <w:p>
            <w:r/>
            <w:r>
              <w:t>Identificación, medición, control y monitoreo del riesgo operativo/tecnológico; aceptación documentada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Decreto 64/020 art. 6 lit. f</w:t>
            </w:r>
          </w:p>
        </w:tc>
        <w:tc>
          <w:tcPr>
            <w:tcW w:type="dxa" w:w="3216"/>
          </w:tcPr>
          <w:p>
            <w:r/>
            <w:r>
              <w:t>Los tratamientos de alto riesgo para los titulares requieren evaluación de impacto previa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con los datos del documento.</w:t>
      </w:r>
    </w:p>
    <w:p>
      <w:pPr>
        <w:pStyle w:val="ListNumber"/>
      </w:pPr>
      <w:r>
        <w:rPr>
          <w:b/>
        </w:rPr>
        <w:t>Definí los niveles de apetito y tolerancia</w:t>
      </w:r>
      <w:r>
        <w:t xml:space="preserve"> de forma concreta (umbrales medibles), no con frases genéricas.</w:t>
      </w:r>
    </w:p>
    <w:p>
      <w:pPr>
        <w:pStyle w:val="ListNumber"/>
      </w:pPr>
      <w:r>
        <w:rPr>
          <w:b/>
        </w:rPr>
        <w:t>Adoptá la metodología de riesgo</w:t>
      </w:r>
      <w:r>
        <w:t xml:space="preserve"> de ID-02/ID-03 (matrices de probabilidad e impacto) y citala, no la reproduzcas completa aquí.</w:t>
      </w:r>
    </w:p>
    <w:p>
      <w:pPr>
        <w:pStyle w:val="ListNumber"/>
      </w:pPr>
      <w:r>
        <w:rPr>
          <w:b/>
        </w:rPr>
        <w:t>Definí la taxonomía de riesgos</w:t>
      </w:r>
      <w:r>
        <w:t xml:space="preserve"> tecnológicos propia del Banco (acceso, disponibilidad, integridad, fraude informático, terceros, continuidad, datos personales).</w:t>
      </w:r>
    </w:p>
    <w:p>
      <w:pPr>
        <w:pStyle w:val="ListNumber"/>
      </w:pPr>
      <w:r>
        <w:rPr>
          <w:b/>
        </w:rPr>
        <w:t>Establecé los niveles de autoridad para aceptar riesgos residuales</w:t>
      </w:r>
      <w:r>
        <w:t xml:space="preserve"> (quién puede aceptar qué nivel de exposición).</w:t>
      </w:r>
    </w:p>
    <w:p>
      <w:pPr>
        <w:pStyle w:val="ListNumber"/>
      </w:pPr>
      <w:r>
        <w:rPr>
          <w:b/>
        </w:rPr>
        <w:t>Vinculá el proceso con la Circular 2227</w:t>
      </w:r>
      <w:r>
        <w:t>: alineá plazos, reportes y registros con la gestión de riesgo operativo del Área de Riesgos.</w:t>
      </w:r>
    </w:p>
    <w:p>
      <w:pPr>
        <w:pStyle w:val="ListNumber"/>
      </w:pPr>
      <w:r>
        <w:rPr>
          <w:b/>
        </w:rPr>
        <w:t>Actualizalo cuando cambie el perfil de riesgo</w:t>
      </w:r>
      <w:r>
        <w:t xml:space="preserve"> o la estrategia; no es un documento estático.</w:t>
      </w:r>
    </w:p>
    <w:p>
      <w:r>
        <w:rPr>
          <w:b/>
        </w:rPr>
        <w:t>A quién consultar en el Banco:</w:t>
      </w:r>
      <w:r>
        <w:t xml:space="preserve"> RSI (segunda línea) y Jefe de Riesgos No Financieros (Cra. Melissa Moraes) por la metodología y la integración con riesgo operativo; Gerente de Área Riesgos (Ec. Laura Zunino) por el apetito institucional; Comité de Seguridad de la Información por la aceptación de riesgos altos; Directorio por los riesgos residuales que excedan su apetito.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BCU-02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Marco de Gestión de Riesgos (Apetito y Adopción de Riesgo)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 / Área Riesgos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Definir el proceso de gestión de riesgos tecnológicos del Banco —identificación, evaluación, tratamiento, monitoreo y reporte— y las reglas de apetito, tolerancia y aceptación documentada de riesgos residuales, en cumplimiento de los Estándares Mínimos de Gestión del BCU y la Circular 2227.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todos los riesgos tecnológicos del Banco, incluidos los derivados de terceros, de los procesos de negocio soportados por tecnología, de los datos personales y de la operación del sistema de pagos], como componente del riesgo operativo.</w:t>
      </w:r>
    </w:p>
    <w:p>
      <w:pPr>
        <w:pStyle w:val="Heading3"/>
      </w:pPr>
      <w:r>
        <w:rPr>
          <w:color w:val="1F3B63"/>
        </w:rPr>
        <w:t>3. Apetito y tolerancia al riesgo</w:t>
      </w:r>
    </w:p>
    <w:p>
      <w:r>
        <w:t xml:space="preserve">a) </w:t>
      </w:r>
      <w:r>
        <w:rPr>
          <w:b/>
        </w:rPr>
        <w:t>Apetito de riesgo:</w:t>
      </w:r>
      <w:r>
        <w:t xml:space="preserve"> cantidad y tipo de riesgo tecnológico que el Banco está dispuesto a asumir para cumplir sus objetivos estratégicos [COMPLETAR: declaración y niveles por categoría].</w:t>
      </w:r>
    </w:p>
    <w:p>
      <w:r>
        <w:t xml:space="preserve">b) </w:t>
      </w:r>
      <w:r>
        <w:rPr>
          <w:b/>
        </w:rPr>
        <w:t>Tolerancia:</w:t>
      </w:r>
      <w:r>
        <w:t xml:space="preserve"> desviación máxima aceptada respecto del apetito, expresada en umbrales medibles (horas de indisponibilidad, número de incidentes, montos de pérdida, casos de exposición de datos).</w:t>
      </w:r>
    </w:p>
    <w:p>
      <w:r>
        <w:t xml:space="preserve">c) </w:t>
      </w:r>
      <w:r>
        <w:rPr>
          <w:b/>
        </w:rPr>
        <w:t>Declaraciones de tolerancia por categoría:</w:t>
      </w:r>
      <w:r>
        <w:t xml:space="preserve"> [COMPLETAR: tabla con categoría, indicador, umbral, responsable de monitoreo].</w:t>
      </w:r>
    </w:p>
    <w:p>
      <w:pPr>
        <w:pStyle w:val="Heading3"/>
      </w:pPr>
      <w:r>
        <w:rPr>
          <w:color w:val="1F3B63"/>
        </w:rPr>
        <w:t>4. Proceso de gestión de riesgos tecnológicos</w:t>
      </w:r>
    </w:p>
    <w:p>
      <w:r>
        <w:t xml:space="preserve">a) </w:t>
      </w:r>
      <w:r>
        <w:rPr>
          <w:b/>
        </w:rPr>
        <w:t>Identificación:</w:t>
      </w:r>
      <w:r>
        <w:t xml:space="preserve"> inventario de riesgos a partir de los activos (ID-01), los procesos y el análisis de amenazas y vulnerabilidades.</w:t>
      </w:r>
    </w:p>
    <w:p>
      <w:r>
        <w:t xml:space="preserve">b) </w:t>
      </w:r>
      <w:r>
        <w:rPr>
          <w:b/>
        </w:rPr>
        <w:t>Evaluación:</w:t>
      </w:r>
      <w:r>
        <w:t xml:space="preserve"> análisis de probabilidad e impacto conforme a la metodología ID-02; se calcula el riesgo inherente y el residual.</w:t>
      </w:r>
    </w:p>
    <w:p>
      <w:r>
        <w:t xml:space="preserve">c) </w:t>
      </w:r>
      <w:r>
        <w:rPr>
          <w:b/>
        </w:rPr>
        <w:t>Tratamiento:</w:t>
      </w:r>
      <w:r>
        <w:t xml:space="preserve"> mitigación (controles), transferencia (seguros o contratos), evitación o </w:t>
      </w:r>
      <w:r>
        <w:rPr>
          <w:b/>
        </w:rPr>
        <w:t>aceptación documentada</w:t>
      </w:r>
      <w:r>
        <w:t>.</w:t>
      </w:r>
    </w:p>
    <w:p>
      <w:r>
        <w:t xml:space="preserve">d) </w:t>
      </w:r>
      <w:r>
        <w:rPr>
          <w:b/>
        </w:rPr>
        <w:t>Monitoreo:</w:t>
      </w:r>
      <w:r>
        <w:t xml:space="preserve"> indicadores de riesgo (KRI), revisión periódica y actualización del registro de riesgos.</w:t>
      </w:r>
    </w:p>
    <w:p>
      <w:r>
        <w:t xml:space="preserve">e) </w:t>
      </w:r>
      <w:r>
        <w:rPr>
          <w:b/>
        </w:rPr>
        <w:t>Reporte:</w:t>
      </w:r>
      <w:r>
        <w:t xml:space="preserve"> el estado de los riesgos y su tratamiento se reporta al Comité y al Directorio conforme a BCU-01.</w:t>
      </w:r>
    </w:p>
    <w:p>
      <w:pPr>
        <w:pStyle w:val="Heading3"/>
      </w:pPr>
      <w:r>
        <w:rPr>
          <w:color w:val="1F3B63"/>
        </w:rPr>
        <w:t>5. Taxonomía de riesgos tecnológicos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Ejemplos para el Banco</w:t>
            </w:r>
          </w:p>
        </w:tc>
      </w:tr>
      <w:tr>
        <w:tc>
          <w:tcPr>
            <w:tcW w:type="dxa" w:w="4824"/>
          </w:tcPr>
          <w:p>
            <w:r/>
            <w:r>
              <w:t>Acceso y identidad</w:t>
            </w:r>
          </w:p>
        </w:tc>
        <w:tc>
          <w:tcPr>
            <w:tcW w:type="dxa" w:w="4824"/>
          </w:tcPr>
          <w:p>
            <w:r/>
            <w:r>
              <w:t>Credenciales comprometidas, privilegios excesivos, ingeniería social</w:t>
            </w:r>
          </w:p>
        </w:tc>
      </w:tr>
      <w:tr>
        <w:tc>
          <w:tcPr>
            <w:tcW w:type="dxa" w:w="4824"/>
          </w:tcPr>
          <w:p>
            <w:r/>
            <w:r>
              <w:t>Disponibilidad</w:t>
            </w:r>
          </w:p>
        </w:tc>
        <w:tc>
          <w:tcPr>
            <w:tcW w:type="dxa" w:w="4824"/>
          </w:tcPr>
          <w:p>
            <w:r/>
            <w:r>
              <w:t>Caída de sistemas críticos (crédito, ahorro, pagos), RTO/RPO</w:t>
            </w:r>
          </w:p>
        </w:tc>
      </w:tr>
      <w:tr>
        <w:tc>
          <w:tcPr>
            <w:tcW w:type="dxa" w:w="4824"/>
          </w:tcPr>
          <w:p>
            <w:r/>
            <w:r>
              <w:t>Integridad de datos</w:t>
            </w:r>
          </w:p>
        </w:tc>
        <w:tc>
          <w:tcPr>
            <w:tcW w:type="dxa" w:w="4824"/>
          </w:tcPr>
          <w:p>
            <w:r/>
            <w:r>
              <w:t>Alteración de registros de préstamos, corrupción de bases</w:t>
            </w:r>
          </w:p>
        </w:tc>
      </w:tr>
      <w:tr>
        <w:tc>
          <w:tcPr>
            <w:tcW w:type="dxa" w:w="4824"/>
          </w:tcPr>
          <w:p>
            <w:r/>
            <w:r>
              <w:t>Fraude informático</w:t>
            </w:r>
          </w:p>
        </w:tc>
        <w:tc>
          <w:tcPr>
            <w:tcW w:type="dxa" w:w="4824"/>
          </w:tcPr>
          <w:p>
            <w:r/>
            <w:r>
              <w:t>Estafas en canales, pagos no autorizados, manipulación de información</w:t>
            </w:r>
          </w:p>
        </w:tc>
      </w:tr>
      <w:tr>
        <w:tc>
          <w:tcPr>
            <w:tcW w:type="dxa" w:w="4824"/>
          </w:tcPr>
          <w:p>
            <w:r/>
            <w:r>
              <w:t>Terceros y cadena de suministro</w:t>
            </w:r>
          </w:p>
        </w:tc>
        <w:tc>
          <w:tcPr>
            <w:tcW w:type="dxa" w:w="4824"/>
          </w:tcPr>
          <w:p>
            <w:r/>
            <w:r>
              <w:t>Proveedores de TI, tercerizaciones (Circ. 2419-2422)</w:t>
            </w:r>
          </w:p>
        </w:tc>
      </w:tr>
      <w:tr>
        <w:tc>
          <w:tcPr>
            <w:tcW w:type="dxa" w:w="4824"/>
          </w:tcPr>
          <w:p>
            <w:r/>
            <w:r>
              <w:t>Continuidad</w:t>
            </w:r>
          </w:p>
        </w:tc>
        <w:tc>
          <w:tcPr>
            <w:tcW w:type="dxa" w:w="4824"/>
          </w:tcPr>
          <w:p>
            <w:r/>
            <w:r>
              <w:t>Pérdida del sitio, desastre natural, ciberataque con cifrado</w:t>
            </w:r>
          </w:p>
        </w:tc>
      </w:tr>
      <w:tr>
        <w:tc>
          <w:tcPr>
            <w:tcW w:type="dxa" w:w="4824"/>
          </w:tcPr>
          <w:p>
            <w:r/>
            <w:r>
              <w:t>Datos personales</w:t>
            </w:r>
          </w:p>
        </w:tc>
        <w:tc>
          <w:tcPr>
            <w:tcW w:type="dxa" w:w="4824"/>
          </w:tcPr>
          <w:p>
            <w:r/>
            <w:r>
              <w:t>Acceso indebido, filtración, incumplimiento de derechos ARCO</w:t>
            </w:r>
          </w:p>
        </w:tc>
      </w:tr>
      <w:tr>
        <w:tc>
          <w:tcPr>
            <w:tcW w:type="dxa" w:w="4824"/>
          </w:tcPr>
          <w:p>
            <w:r/>
            <w:r>
              <w:t>Cumplimiento</w:t>
            </w:r>
          </w:p>
        </w:tc>
        <w:tc>
          <w:tcPr>
            <w:tcW w:type="dxa" w:w="4824"/>
          </w:tcPr>
          <w:p>
            <w:r/>
            <w:r>
              <w:t>Incumplimiento normativo BCU, URCDP, Agesic</w:t>
            </w:r>
          </w:p>
        </w:tc>
      </w:tr>
    </w:tbl>
    <w:p>
      <w:pPr>
        <w:pStyle w:val="Heading3"/>
      </w:pPr>
      <w:r>
        <w:rPr>
          <w:color w:val="1F3B63"/>
        </w:rPr>
        <w:t>6. Aceptación documentada de riesgos residuales</w:t>
      </w:r>
    </w:p>
    <w:p>
      <w:r>
        <w:t>Todo riesgo residual que se decida aceptar se documenta en el Registro de Riesgos con: descripción, nivel de exposición, tratamiento aplicado, justificación de la aceptación, responsable, vigencia y fecha de revisión. Los niveles de autoridad para aceptar son [COMPLETAR: tabla con nivel de riesgo y autoridad: bajo=Jefe de Riesgos No Financieros; medio=RSI y Comité; alto=Comité y Directorio]. No se acepta un riesgo cuya materialización violaría la ley o pondría en peligro la estabilidad de la entidad.</w:t>
      </w:r>
    </w:p>
    <w:p>
      <w:pPr>
        <w:pStyle w:val="Heading3"/>
      </w:pPr>
      <w:r>
        <w:rPr>
          <w:color w:val="1F3B63"/>
        </w:rPr>
        <w:t>7. Vínculo con el riesgo operativo (Circular 2227)</w:t>
      </w:r>
    </w:p>
    <w:p>
      <w:r>
        <w:t>El proceso aquí definido es parte de la gestión de riesgo operativo del Banco: los riesgos tecnológicos se incorporan al registro de riesgo operativo, los incidentes tecnológicos se gestionan bajo el mismo esquema de incidentes y las pérdidas por eventos tecnológicos se registran y reportan conforme a la Circular 2227.</w:t>
      </w:r>
    </w:p>
    <w:p>
      <w:pPr>
        <w:pStyle w:val="Heading3"/>
      </w:pPr>
      <w:r>
        <w:rPr>
          <w:color w:val="1F3B63"/>
        </w:rPr>
        <w:t>8. Registros y controles asociados</w:t>
      </w:r>
    </w:p>
    <w:p>
      <w:r>
        <w:t>Registro de Riesgos Tecnológicos, Declaraciones de Aceptación de Riesgos, Indicadores de Riesgo (KRI), Informes al Comité y al Directorio, Evaluaciones de Impacto en Protección de Datos (URCDP-05) cuando el tratamiento implique alto riesgo para los titulares.</w:t>
      </w:r>
    </w:p>
    <w:p>
      <w:pPr>
        <w:pStyle w:val="Heading3"/>
      </w:pPr>
      <w:r>
        <w:rPr>
          <w:color w:val="1F3B63"/>
        </w:rPr>
        <w:t>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Adaptá a la realidad institucional del Banco.</w:t>
      </w:r>
    </w:p>
    <w:p>
      <w:r>
        <w:rPr>
          <w:b/>
        </w:rPr>
        <w:t>Apetito (ejemplo):</w:t>
      </w:r>
      <w:r>
        <w:t xml:space="preserve"> "El Banco tiene apetito bajo por los riesgos de exposición de datos personales de clientes y por la indisponibilidad de los sistemas que soportan el crédito hipotecario, el ahorro y el sistema de pagos. No se aceptan riesgos que comprometan la continuidad de estos servicios por más de 4 horas en horario de operación."</w:t>
      </w:r>
    </w:p>
    <w:p>
      <w:r>
        <w:rPr>
          <w:b/>
        </w:rPr>
        <w:t>Tolerancia (ejemplo):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Categoría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Umbral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Monitoreo</w:t>
            </w:r>
          </w:p>
        </w:tc>
      </w:tr>
      <w:tr>
        <w:tc>
          <w:tcPr>
            <w:tcW w:type="dxa" w:w="2412"/>
          </w:tcPr>
          <w:p>
            <w:r/>
            <w:r>
              <w:t>Disponibilidad</w:t>
            </w:r>
          </w:p>
        </w:tc>
        <w:tc>
          <w:tcPr>
            <w:tcW w:type="dxa" w:w="2412"/>
          </w:tcPr>
          <w:p>
            <w:r/>
            <w:r>
              <w:t>RTO de sistema central</w:t>
            </w:r>
          </w:p>
        </w:tc>
        <w:tc>
          <w:tcPr>
            <w:tcW w:type="dxa" w:w="2412"/>
          </w:tcPr>
          <w:p>
            <w:r/>
            <w:r>
              <w:t>≤ 4 horas</w:t>
            </w:r>
          </w:p>
        </w:tc>
        <w:tc>
          <w:tcPr>
            <w:tcW w:type="dxa" w:w="2412"/>
          </w:tcPr>
          <w:p>
            <w:r/>
            <w:r>
              <w:t>División TI / RSI</w:t>
            </w:r>
          </w:p>
        </w:tc>
      </w:tr>
      <w:tr>
        <w:tc>
          <w:tcPr>
            <w:tcW w:type="dxa" w:w="2412"/>
          </w:tcPr>
          <w:p>
            <w:r/>
            <w:r>
              <w:t>Datos personales</w:t>
            </w:r>
          </w:p>
        </w:tc>
        <w:tc>
          <w:tcPr>
            <w:tcW w:type="dxa" w:w="2412"/>
          </w:tcPr>
          <w:p>
            <w:r/>
            <w:r>
              <w:t>Casos de exposición no autorizada</w:t>
            </w:r>
          </w:p>
        </w:tc>
        <w:tc>
          <w:tcPr>
            <w:tcW w:type="dxa" w:w="2412"/>
          </w:tcPr>
          <w:p>
            <w:r/>
            <w:r>
              <w:t>≤ 5 casos/año</w:t>
            </w:r>
          </w:p>
        </w:tc>
        <w:tc>
          <w:tcPr>
            <w:tcW w:type="dxa" w:w="2412"/>
          </w:tcPr>
          <w:p>
            <w:r/>
            <w:r>
              <w:t>DPD</w:t>
            </w:r>
          </w:p>
        </w:tc>
      </w:tr>
      <w:tr>
        <w:tc>
          <w:tcPr>
            <w:tcW w:type="dxa" w:w="2412"/>
          </w:tcPr>
          <w:p>
            <w:r/>
            <w:r>
              <w:t>Fraude</w:t>
            </w:r>
          </w:p>
        </w:tc>
        <w:tc>
          <w:tcPr>
            <w:tcW w:type="dxa" w:w="2412"/>
          </w:tcPr>
          <w:p>
            <w:r/>
            <w:r>
              <w:t>Pérdida por fraude informático</w:t>
            </w:r>
          </w:p>
        </w:tc>
        <w:tc>
          <w:tcPr>
            <w:tcW w:type="dxa" w:w="2412"/>
          </w:tcPr>
          <w:p>
            <w:r/>
            <w:r>
              <w:t>≤ USD 50.000/año</w:t>
            </w:r>
          </w:p>
        </w:tc>
        <w:tc>
          <w:tcPr>
            <w:tcW w:type="dxa" w:w="2412"/>
          </w:tcPr>
          <w:p>
            <w:r/>
            <w:r>
              <w:t>Riesgo Operacional</w:t>
            </w:r>
          </w:p>
        </w:tc>
      </w:tr>
      <w:tr>
        <w:tc>
          <w:tcPr>
            <w:tcW w:type="dxa" w:w="2412"/>
          </w:tcPr>
          <w:p>
            <w:r/>
            <w:r>
              <w:t>Incumplimiento</w:t>
            </w:r>
          </w:p>
        </w:tc>
        <w:tc>
          <w:tcPr>
            <w:tcW w:type="dxa" w:w="2412"/>
          </w:tcPr>
          <w:p>
            <w:r/>
            <w:r>
              <w:t>Hallazgos de auditoría sin corregir</w:t>
            </w:r>
          </w:p>
        </w:tc>
        <w:tc>
          <w:tcPr>
            <w:tcW w:type="dxa" w:w="2412"/>
          </w:tcPr>
          <w:p>
            <w:r/>
            <w:r>
              <w:t>0 críticos al cierre</w:t>
            </w:r>
          </w:p>
        </w:tc>
        <w:tc>
          <w:tcPr>
            <w:tcW w:type="dxa" w:w="2412"/>
          </w:tcPr>
          <w:p>
            <w:r/>
            <w:r>
              <w:t>Auditoría Interna</w:t>
            </w:r>
          </w:p>
        </w:tc>
      </w:tr>
    </w:tbl>
    <w:p>
      <w:r>
        <w:rPr>
          <w:b/>
        </w:rPr>
        <w:t>Aceptación documentada (ejemplo):</w:t>
      </w:r>
      <w:r>
        <w:t xml:space="preserve"> en 2026 se detectó que el portal de atención al cliente (Banco En Línea) no contaba con autenticación multifactor para un segmento de usuarios. El riesgo residual (acceso indebido a datos de clientes por robo de credenciales) fue evaluado como ALTO y, en lugar de aceptarlo, se incorporó al Plan de Tratamiento de Riesgos con fecha de cierre [fecha]. La decisión quedó registrada y firmada por el Comité.</w:t>
      </w:r>
    </w:p>
    <w:p>
      <w:r>
        <w:rPr>
          <w:b/>
        </w:rPr>
        <w:t>Integración con Circular 2227 (ejemplo):</w:t>
      </w:r>
      <w:r>
        <w:t xml:space="preserve"> la pérdida operacional asociada a un incidente de TI se reporta al esquema de riesgo operativo con el evento, el importe y las lecciones aprendidas, y alimenta el registro único de eventos.</w:t>
      </w:r>
    </w:p>
    <w:p>
      <w:r>
        <w:rPr>
          <w:b/>
        </w:rPr>
        <w:t>Documentos relacionados:</w:t>
      </w:r>
      <w:r>
        <w:t xml:space="preserve"> BCU-01 (Gobierno), BCU-03 (Función de Seguridad), ID-01 (Activos), ID-02 (Metodología), ID-03 (Análisis de riesgos), ID-04 (Plan de tratamiento), ID-05 (Perfil de ciberseguridad), URCDP-05 (EIPD), GV-05 (Cadena de suministro).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