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BCU-05 · Programa de Auditoría Interna de Seguridad del Banco</w:t>
      </w:r>
    </w:p>
    <w:p>
      <w:pPr>
        <w:ind w:left="432"/>
      </w:pPr>
      <w:r>
        <w:rPr>
          <w:i/>
          <w:color w:val="606060"/>
        </w:rPr>
        <w:t>⚠️ **Alerta:** este documento menciona **nombres propios del organigrama del Banco** (personas y cargos, abril 2026). Antes de usar el documento, verificá la vigencia de esos nombres contra el organigrama actual.</w:t>
      </w:r>
    </w:p>
    <w:p>
      <w:pPr>
        <w:ind w:left="432"/>
      </w:pPr>
      <w:r>
        <w:rPr>
          <w:i/>
          <w:color w:val="606060"/>
        </w:rPr>
        <w:t>**Función del MCU 5.0:** Gobernar (GV.OV — Supervisión y monitoreo)</w:t>
      </w:r>
    </w:p>
    <w:p>
      <w:pPr>
        <w:ind w:left="432"/>
      </w:pPr>
      <w:r>
        <w:rPr>
          <w:i/>
          <w:color w:val="606060"/>
        </w:rPr>
        <w:t>**ISO/IEC 27001:** Cláusula 9.2 (Auditoría interna) · Cláusula 9.3 (Revisión por la dirección)</w:t>
      </w:r>
    </w:p>
    <w:p>
      <w:pPr>
        <w:ind w:left="432"/>
      </w:pPr>
      <w:r>
        <w:rPr>
          <w:i/>
          <w:color w:val="606060"/>
        </w:rPr>
        <w:t>**BCU:** Estándares Mínimos de Gestión — Auditoría interna de seguridad · Circular 2227</w:t>
      </w:r>
    </w:p>
    <w:p>
      <w:pPr>
        <w:ind w:left="432"/>
      </w:pPr>
      <w:r>
        <w:rPr>
          <w:i/>
          <w:color w:val="606060"/>
        </w:rPr>
        <w:t>**URCDP:** Ley 18.331 art. 10 · Ley 19.670 (responsabilidad proactiva)</w:t>
      </w:r>
    </w:p>
    <w:p>
      <w:pPr>
        <w:ind w:left="432"/>
      </w:pPr>
      <w:r>
        <w:rPr>
          <w:i/>
          <w:color w:val="606060"/>
        </w:rPr>
        <w:t>**Nivel del curso:** 🟡 Practicar · 🔴 Dominar</w:t>
      </w:r>
    </w:p>
    <w:p>
      <w:pPr>
        <w:pStyle w:val="Heading2"/>
      </w:pPr>
      <w:r>
        <w:rPr>
          <w:color w:val="1F3B63"/>
        </w:rPr>
        <w:t>1. Qué es y por qué existe</w:t>
      </w:r>
    </w:p>
    <w:p>
      <w:r>
        <w:t xml:space="preserve">La </w:t>
      </w:r>
      <w:r>
        <w:rPr>
          <w:b/>
        </w:rPr>
        <w:t>auditoría interna de seguridad</w:t>
      </w:r>
      <w:r>
        <w:t xml:space="preserve"> es la </w:t>
      </w:r>
      <w:r>
        <w:rPr>
          <w:b/>
        </w:rPr>
        <w:t>tercera línea de defensa</w:t>
      </w:r>
      <w:r>
        <w:t xml:space="preserve">: evalúa con independencia si el gobierno, la gestión de riesgos y los controles de la seguridad de la información funcionan como fueron diseñados. El BCU espera que la entidad tenga un </w:t>
      </w:r>
      <w:r>
        <w:rPr>
          <w:b/>
        </w:rPr>
        <w:t>programa de auditoría</w:t>
      </w:r>
      <w:r>
        <w:t xml:space="preserve"> que cubra los riesgos de ciberseguridad y tecnología, con criterios definidos y seguimiento de hallazgos, realizado con independencia del área auditada.</w:t>
      </w:r>
    </w:p>
    <w:p>
      <w:r>
        <w:t xml:space="preserve">En el Banco la función la ejerce la </w:t>
      </w:r>
      <w:r>
        <w:rPr>
          <w:b/>
        </w:rPr>
        <w:t>División Auditoría Interna</w:t>
      </w:r>
      <w:r>
        <w:t xml:space="preserve"> (tercera línea), que coordina con el RSI (segunda línea) y con la División TI (primera línea) la definición del alcance por riesgo. La auditoría de seguridad complementa la supervisión del RSI: el RSI controla el día a día, la auditoría evalúa periódicamente la eficacia del conjunto con un enfoque de aseguramiento.</w:t>
      </w:r>
    </w:p>
    <w:p>
      <w:r>
        <w:t xml:space="preserve">Los criterios de auditoría combinan tres referencias: el </w:t>
      </w:r>
      <w:r>
        <w:rPr>
          <w:b/>
        </w:rPr>
        <w:t>MCU 5.0</w:t>
      </w:r>
      <w:r>
        <w:t xml:space="preserve"> (Agesic), los controles de </w:t>
      </w:r>
      <w:r>
        <w:rPr>
          <w:b/>
        </w:rPr>
        <w:t>ISO/IEC 27001</w:t>
      </w:r>
      <w:r>
        <w:t xml:space="preserve"> y la </w:t>
      </w:r>
      <w:r>
        <w:rPr>
          <w:b/>
        </w:rPr>
        <w:t>normativa BCU/URCDP</w:t>
      </w:r>
      <w:r>
        <w:t>. Los hallazgos se clasifican por severidad, se comunican al Comité y al Directorio y se les da seguimiento hasta su cierre. Sin auditoría independiente, el supervisor no tiene cómo verificar que el SGSI declara lo que realmente hace.</w:t>
      </w:r>
    </w:p>
    <w:p>
      <w:pPr>
        <w:pStyle w:val="Heading2"/>
      </w:pPr>
      <w:r>
        <w:rPr>
          <w:color w:val="1F3B63"/>
        </w:rPr>
        <w:t>2. Marco de referencia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Marco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exige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MCU 5.0 (Agesic)</w:t>
            </w:r>
          </w:p>
        </w:tc>
        <w:tc>
          <w:tcPr>
            <w:tcW w:type="dxa" w:w="3216"/>
          </w:tcPr>
          <w:p>
            <w:r/>
            <w:r>
              <w:t>GV.OV</w:t>
            </w:r>
          </w:p>
        </w:tc>
        <w:tc>
          <w:tcPr>
            <w:tcW w:type="dxa" w:w="3216"/>
          </w:tcPr>
          <w:p>
            <w:r/>
            <w:r>
              <w:t>Supervisión y monitoreo del desempeño de la gestión de ciberseguridad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ISO/IEC 27001</w:t>
            </w:r>
          </w:p>
        </w:tc>
        <w:tc>
          <w:tcPr>
            <w:tcW w:type="dxa" w:w="3216"/>
          </w:tcPr>
          <w:p>
            <w:r/>
            <w:r>
              <w:t>Cláusula 9.2 · Cláusula 9.3</w:t>
            </w:r>
          </w:p>
        </w:tc>
        <w:tc>
          <w:tcPr>
            <w:tcW w:type="dxa" w:w="3216"/>
          </w:tcPr>
          <w:p>
            <w:r/>
            <w:r>
              <w:t>Programa de auditorías internas a intervalos planificados, con criterios y alcance por riesgo; revisión por la dirección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BCU</w:t>
            </w:r>
          </w:p>
        </w:tc>
        <w:tc>
          <w:tcPr>
            <w:tcW w:type="dxa" w:w="3216"/>
          </w:tcPr>
          <w:p>
            <w:r/>
            <w:r>
              <w:t>EMG · Auditoría interna de seguridad · Circular 2227</w:t>
            </w:r>
          </w:p>
        </w:tc>
        <w:tc>
          <w:tcPr>
            <w:tcW w:type="dxa" w:w="3216"/>
          </w:tcPr>
          <w:p>
            <w:r/>
            <w:r>
              <w:t>Auditoría con independencia, criterios definidos, informes y seguimiento de hallazgos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URCDP</w:t>
            </w:r>
          </w:p>
        </w:tc>
        <w:tc>
          <w:tcPr>
            <w:tcW w:type="dxa" w:w="3216"/>
          </w:tcPr>
          <w:p>
            <w:r/>
            <w:r>
              <w:t>Ley 18.331 art. 10 · Ley 19.670</w:t>
            </w:r>
          </w:p>
        </w:tc>
        <w:tc>
          <w:tcPr>
            <w:tcW w:type="dxa" w:w="3216"/>
          </w:tcPr>
          <w:p>
            <w:r/>
            <w:r>
              <w:t>Verificar la eficacia de las medidas de seguridad de los datos personales</w:t>
            </w:r>
          </w:p>
        </w:tc>
      </w:tr>
    </w:tbl>
    <w:p>
      <w:pPr>
        <w:pStyle w:val="Heading2"/>
      </w:pPr>
      <w:r>
        <w:rPr>
          <w:color w:val="1F3B63"/>
        </w:rPr>
        <w:t>3. Cómo completar esta plantilla (guía de llenado)</w:t>
      </w:r>
    </w:p>
    <w:p>
      <w:pPr>
        <w:pStyle w:val="ListNumber"/>
      </w:pPr>
      <w:r>
        <w:rPr>
          <w:b/>
        </w:rPr>
        <w:t>Completá el encabezado</w:t>
      </w:r>
      <w:r>
        <w:t xml:space="preserve"> con los datos del documento.</w:t>
      </w:r>
    </w:p>
    <w:p>
      <w:pPr>
        <w:pStyle w:val="ListNumber"/>
      </w:pPr>
      <w:r>
        <w:rPr>
          <w:b/>
        </w:rPr>
        <w:t>Definí el plan anual de auditorías de seguridad</w:t>
      </w:r>
      <w:r>
        <w:t xml:space="preserve"> priorizado por riesgo (no auditar todo cada año, sino lo más riesgoso).</w:t>
      </w:r>
    </w:p>
    <w:p>
      <w:pPr>
        <w:pStyle w:val="ListNumber"/>
      </w:pPr>
      <w:r>
        <w:rPr>
          <w:b/>
        </w:rPr>
        <w:t>Establecé los criterios de auditoría</w:t>
      </w:r>
      <w:r>
        <w:t xml:space="preserve"> para cada trabajo (MCU 5.0, ISO 27001, RNRCSF, Circulares, Ley 18.331).</w:t>
      </w:r>
    </w:p>
    <w:p>
      <w:pPr>
        <w:pStyle w:val="ListNumber"/>
      </w:pPr>
      <w:r>
        <w:rPr>
          <w:b/>
        </w:rPr>
        <w:t>Definí el perfil de los auditores</w:t>
      </w:r>
      <w:r>
        <w:t>: independencia, competencia y ausencia de conflicto de interés con el área auditada.</w:t>
      </w:r>
    </w:p>
    <w:p>
      <w:pPr>
        <w:pStyle w:val="ListNumber"/>
      </w:pPr>
      <w:r>
        <w:rPr>
          <w:b/>
        </w:rPr>
        <w:t>Definí el formato de los informes</w:t>
      </w:r>
      <w:r>
        <w:t xml:space="preserve"> y la clasificación de hallazgos (crítico/alto/medio/bajo).</w:t>
      </w:r>
    </w:p>
    <w:p>
      <w:pPr>
        <w:pStyle w:val="ListNumber"/>
      </w:pPr>
      <w:r>
        <w:rPr>
          <w:b/>
        </w:rPr>
        <w:t>Establecé el proceso de seguimiento</w:t>
      </w:r>
      <w:r>
        <w:t>: responsables, plazos de corrección y verificación de cierre.</w:t>
      </w:r>
    </w:p>
    <w:p>
      <w:pPr>
        <w:pStyle w:val="ListNumber"/>
      </w:pPr>
      <w:r>
        <w:rPr>
          <w:b/>
        </w:rPr>
        <w:t>Coordiná el programa con el RSI</w:t>
      </w:r>
      <w:r>
        <w:t xml:space="preserve"> y con la División Auditoría Interna; evitá duplicaciones y cubrí vacíos.</w:t>
      </w:r>
    </w:p>
    <w:p>
      <w:r>
        <w:rPr>
          <w:b/>
        </w:rPr>
        <w:t>A quién consultar en el Banco:</w:t>
      </w:r>
      <w:r>
        <w:t xml:space="preserve"> Gerente de División Auditoría Interna (Cr. Marcelo Jorge) por el programa y la independencia; RSI por el alcance técnico; Gerente de Área Riesgos y Oficial de Cumplimiento por los criterios de riesgo; Comité de Seguridad de la Información por la aprobación del plan anual.</w:t>
      </w:r>
    </w:p>
    <w:p>
      <w:pPr>
        <w:pStyle w:val="Heading2"/>
      </w:pPr>
      <w:r>
        <w:rPr>
          <w:color w:val="1F3B63"/>
        </w:rPr>
        <w:t>4. Plantilla del documento</w:t>
      </w: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BCU-05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Programa de Auditoría Interna de Seguridad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División Auditoría Interna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RSI / 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Directorio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Uso interno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>Definir el programa anual de auditorías internas de seguridad de la información del Banco: alcance, criterios, recursos, informes y seguimiento de hallazgos, en cumplimiento de los Estándares Mínimos de Gestión del BCU y de la cláusula 9.2 de ISO/IEC 27001.</w:t>
      </w:r>
    </w:p>
    <w:p>
      <w:pPr>
        <w:pStyle w:val="Heading3"/>
      </w:pPr>
      <w:r>
        <w:rPr>
          <w:color w:val="1F3B63"/>
        </w:rPr>
        <w:t>2. Alcance del programa</w:t>
      </w:r>
    </w:p>
    <w:p>
      <w:r>
        <w:t>Cubre la evaluación de [COMPLETAR: el SGSI, los controles de seguridad de la información, la gestión de riesgos tecnológicos, el cumplimiento normativo BCU/URCDP/Agesic, los servicios de TI y las tercerizaciones]. Se prioriza por riesgo: a mayor exposición, mayor frecuencia y profundidad.</w:t>
      </w:r>
    </w:p>
    <w:p>
      <w:pPr>
        <w:pStyle w:val="Heading3"/>
      </w:pPr>
      <w:r>
        <w:rPr>
          <w:color w:val="1F3B63"/>
        </w:rPr>
        <w:t>3. Plan anual de auditorías de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N.º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Tema / área a auditar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Criterios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Período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Auditor asignado</w:t>
            </w:r>
          </w:p>
        </w:tc>
      </w:tr>
      <w:tr>
        <w:tc>
          <w:tcPr>
            <w:tcW w:type="dxa" w:w="1930"/>
          </w:tcPr>
          <w:p>
            <w:r/>
            <w:r>
              <w:t>1</w:t>
            </w:r>
          </w:p>
        </w:tc>
        <w:tc>
          <w:tcPr>
            <w:tcW w:type="dxa" w:w="1930"/>
          </w:tcPr>
          <w:p>
            <w:r/>
            <w:r>
              <w:t>[COMPLETAR: Gobierno y SGSI]</w:t>
            </w:r>
          </w:p>
        </w:tc>
        <w:tc>
          <w:tcPr>
            <w:tcW w:type="dxa" w:w="1930"/>
          </w:tcPr>
          <w:p>
            <w:r/>
            <w:r>
              <w:t>MCU 5.0 GV · ISO 5.1-5.3</w:t>
            </w:r>
          </w:p>
        </w:tc>
        <w:tc>
          <w:tcPr>
            <w:tcW w:type="dxa" w:w="1930"/>
          </w:tcPr>
          <w:p>
            <w:r/>
            <w:r>
              <w:t>[Trimestre]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t>2</w:t>
            </w:r>
          </w:p>
        </w:tc>
        <w:tc>
          <w:tcPr>
            <w:tcW w:type="dxa" w:w="1930"/>
          </w:tcPr>
          <w:p>
            <w:r/>
            <w:r>
              <w:t>[COMPLETAR: Gestión de accesos]</w:t>
            </w:r>
          </w:p>
        </w:tc>
        <w:tc>
          <w:tcPr>
            <w:tcW w:type="dxa" w:w="1930"/>
          </w:tcPr>
          <w:p>
            <w:r/>
            <w:r>
              <w:t>ISO A.5.15, A.8.2</w:t>
            </w:r>
          </w:p>
        </w:tc>
        <w:tc>
          <w:tcPr>
            <w:tcW w:type="dxa" w:w="1930"/>
          </w:tcPr>
          <w:p>
            <w:r/>
            <w:r>
              <w:t>[Trimestre]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t>3</w:t>
            </w:r>
          </w:p>
        </w:tc>
        <w:tc>
          <w:tcPr>
            <w:tcW w:type="dxa" w:w="1930"/>
          </w:tcPr>
          <w:p>
            <w:r/>
            <w:r>
              <w:t>[COMPLETAR: Respaldo y recuperación (art. 492)]</w:t>
            </w:r>
          </w:p>
        </w:tc>
        <w:tc>
          <w:tcPr>
            <w:tcW w:type="dxa" w:w="1930"/>
          </w:tcPr>
          <w:p>
            <w:r/>
            <w:r>
              <w:t>RNRCSF art. 492 · ISO A.8.13</w:t>
            </w:r>
          </w:p>
        </w:tc>
        <w:tc>
          <w:tcPr>
            <w:tcW w:type="dxa" w:w="1930"/>
          </w:tcPr>
          <w:p>
            <w:r/>
            <w:r>
              <w:t>[Trimestre]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t>4</w:t>
            </w:r>
          </w:p>
        </w:tc>
        <w:tc>
          <w:tcPr>
            <w:tcW w:type="dxa" w:w="1930"/>
          </w:tcPr>
          <w:p>
            <w:r/>
            <w:r>
              <w:t>[COMPLETAR: Datos personales]</w:t>
            </w:r>
          </w:p>
        </w:tc>
        <w:tc>
          <w:tcPr>
            <w:tcW w:type="dxa" w:w="1930"/>
          </w:tcPr>
          <w:p>
            <w:r/>
            <w:r>
              <w:t>Ley 18.331 art. 10 · D.64/020</w:t>
            </w:r>
          </w:p>
        </w:tc>
        <w:tc>
          <w:tcPr>
            <w:tcW w:type="dxa" w:w="1930"/>
          </w:tcPr>
          <w:p>
            <w:r/>
            <w:r>
              <w:t>[Trimestre]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  <w:tr>
        <w:tc>
          <w:tcPr>
            <w:tcW w:type="dxa" w:w="1930"/>
          </w:tcPr>
          <w:p>
            <w:r/>
            <w:r>
              <w:t>5</w:t>
            </w:r>
          </w:p>
        </w:tc>
        <w:tc>
          <w:tcPr>
            <w:tcW w:type="dxa" w:w="1930"/>
          </w:tcPr>
          <w:p>
            <w:r/>
            <w:r>
              <w:t>[COMPLETAR: Terceros y contratos]</w:t>
            </w:r>
          </w:p>
        </w:tc>
        <w:tc>
          <w:tcPr>
            <w:tcW w:type="dxa" w:w="1930"/>
          </w:tcPr>
          <w:p>
            <w:r/>
            <w:r>
              <w:t>Circ. 2419-2422 · ISO A.5.19-5.22</w:t>
            </w:r>
          </w:p>
        </w:tc>
        <w:tc>
          <w:tcPr>
            <w:tcW w:type="dxa" w:w="1930"/>
          </w:tcPr>
          <w:p>
            <w:r/>
            <w:r>
              <w:t>[Trimestre]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4. Criterios de auditoría</w:t>
      </w:r>
    </w:p>
    <w:p>
      <w:r>
        <w:t xml:space="preserve">Los trabajos se ejecutan contra: el </w:t>
      </w:r>
      <w:r>
        <w:rPr>
          <w:b/>
        </w:rPr>
        <w:t>MCU 5.0</w:t>
      </w:r>
      <w:r>
        <w:t xml:space="preserve"> (funciones GV, ID, PR, DE, RS, RC), los </w:t>
      </w:r>
      <w:r>
        <w:rPr>
          <w:b/>
        </w:rPr>
        <w:t>controles ISO/IEC 27001:2022</w:t>
      </w:r>
      <w:r>
        <w:t xml:space="preserve"> aplicables al alcance, la </w:t>
      </w:r>
      <w:r>
        <w:rPr>
          <w:b/>
        </w:rPr>
        <w:t>normativa BCU</w:t>
      </w:r>
      <w:r>
        <w:t xml:space="preserve"> (EMG, RNRCSF art. 492, Circulares 2227, 2419-2422, 2280) y la </w:t>
      </w:r>
      <w:r>
        <w:rPr>
          <w:b/>
        </w:rPr>
        <w:t>normativa URCDP</w:t>
      </w:r>
      <w:r>
        <w:t xml:space="preserve"> (Ley 18.331, Ley 19.670, Decretos 414/009 y 64/020). Para cada trabajo se documentan los criterios en el programa de la auditoría.</w:t>
      </w:r>
    </w:p>
    <w:p>
      <w:pPr>
        <w:pStyle w:val="Heading3"/>
      </w:pPr>
      <w:r>
        <w:rPr>
          <w:color w:val="1F3B63"/>
        </w:rPr>
        <w:t>5. Perfil e independencia de los auditores</w:t>
      </w:r>
    </w:p>
    <w:p>
      <w:r>
        <w:t>a) Los auditores tienen competencia en seguridad de la información, gestión de riesgos y normativa aplicable.</w:t>
      </w:r>
    </w:p>
    <w:p>
      <w:r>
        <w:t>b) No auditan actividades sobre las que tuvieron responsabilidad de ejecución durante [COMPLETAR: los últimos 12 meses].</w:t>
      </w:r>
    </w:p>
    <w:p>
      <w:r>
        <w:t>c) La División Auditoría Interna decide el alcance, la metodología y los informes sin interferencias.</w:t>
      </w:r>
    </w:p>
    <w:p>
      <w:r>
        <w:t>d) Cuando se requiere competencia especializada, se puede contratar auditoría externa [COMPLETAR: con aprobación del Directorio].</w:t>
      </w:r>
    </w:p>
    <w:p>
      <w:pPr>
        <w:pStyle w:val="Heading3"/>
      </w:pPr>
      <w:r>
        <w:rPr>
          <w:color w:val="1F3B63"/>
        </w:rPr>
        <w:t>6. Ejecución e informes</w:t>
      </w:r>
    </w:p>
    <w:p>
      <w:r>
        <w:t>Cada auditoría se ejecuta conforme a un programa documentado: objetivos, alcance, criterios, procedimientos y asignación de recursos. El informe final incluye: resultados, hallazgos clasificados por severidad, riesgos identificados, recomendaciones y responsables. Los informes se presentan al Comité de Seguridad de la Información y al Directorio.</w:t>
      </w:r>
    </w:p>
    <w:p>
      <w:pPr>
        <w:pStyle w:val="Heading3"/>
      </w:pPr>
      <w:r>
        <w:rPr>
          <w:color w:val="1F3B63"/>
        </w:rPr>
        <w:t>7. Clasificación de hallazgos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Severidad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Criterio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Plazo de corrección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Crítico</w:t>
            </w:r>
          </w:p>
        </w:tc>
        <w:tc>
          <w:tcPr>
            <w:tcW w:type="dxa" w:w="3216"/>
          </w:tcPr>
          <w:p>
            <w:r/>
            <w:r>
              <w:t>Riesgo inmediato alto para el Banco o incumplimiento normativo grave</w:t>
            </w:r>
          </w:p>
        </w:tc>
        <w:tc>
          <w:tcPr>
            <w:tcW w:type="dxa" w:w="3216"/>
          </w:tcPr>
          <w:p>
            <w:r/>
            <w:r>
              <w:t>[COMPLETAR: inmediato / ≤ 15 días]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Alto</w:t>
            </w:r>
          </w:p>
        </w:tc>
        <w:tc>
          <w:tcPr>
            <w:tcW w:type="dxa" w:w="3216"/>
          </w:tcPr>
          <w:p>
            <w:r/>
            <w:r>
              <w:t>Riesgo significativo o incumplimiento relevante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Medio</w:t>
            </w:r>
          </w:p>
        </w:tc>
        <w:tc>
          <w:tcPr>
            <w:tcW w:type="dxa" w:w="3216"/>
          </w:tcPr>
          <w:p>
            <w:r/>
            <w:r>
              <w:t>Debilidad de control de impacto moderado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Bajo</w:t>
            </w:r>
          </w:p>
        </w:tc>
        <w:tc>
          <w:tcPr>
            <w:tcW w:type="dxa" w:w="3216"/>
          </w:tcPr>
          <w:p>
            <w:r/>
            <w:r>
              <w:t>Mejora recomendada sin impacto relevante</w:t>
            </w:r>
          </w:p>
        </w:tc>
        <w:tc>
          <w:tcPr>
            <w:tcW w:type="dxa" w:w="3216"/>
          </w:tcPr>
          <w:p>
            <w:r/>
            <w:r>
              <w:t>[COMPLETAR]</w:t>
            </w:r>
          </w:p>
        </w:tc>
      </w:tr>
    </w:tbl>
    <w:p>
      <w:pPr>
        <w:pStyle w:val="Heading3"/>
      </w:pPr>
      <w:r>
        <w:rPr>
          <w:color w:val="1F3B63"/>
        </w:rPr>
        <w:t>8. Seguimiento de hallazgos</w:t>
      </w:r>
    </w:p>
    <w:p>
      <w:r>
        <w:t>La División Auditoría Interna mantiene un registro de hallazgos con: fecha, severidad, responsable, plan de acción, fecha de cierre planificada y verificación de eficacia. El estado de los hallazgos se reporta al Comité y al Directorio. Un hallazgo crítico sin corregir al cierre del período se eleva formalmente al Directorio.</w:t>
      </w:r>
    </w:p>
    <w:p>
      <w:pPr>
        <w:pStyle w:val="Heading3"/>
      </w:pPr>
      <w:r>
        <w:rPr>
          <w:color w:val="1F3B63"/>
        </w:rPr>
        <w:t>9. Coordinación con el RSI</w:t>
      </w:r>
    </w:p>
    <w:p>
      <w:r>
        <w:t>El programa se coordina con el RSI para evitar superposiciones y cubrir los vacíos de aseguramiento: el RSI realiza la supervisión continua (segunda línea) y la auditoría realiza la evaluación periódica (tercera línea). Los hallazgos del RSI pueden insumir el plan de auditoría, y los informes de auditoría insumen el plan de tratamiento de riesgos.</w:t>
      </w:r>
    </w:p>
    <w:p>
      <w:pPr>
        <w:pStyle w:val="Heading3"/>
      </w:pPr>
      <w:r>
        <w:rPr>
          <w:color w:val="1F3B63"/>
        </w:rPr>
        <w:t>Control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Cambio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Elaboró</w:t>
            </w:r>
          </w:p>
        </w:tc>
        <w:tc>
          <w:tcPr>
            <w:tcW w:type="dxa" w:w="1930"/>
          </w:tcPr>
          <w:p>
            <w:r>
              <w:rPr>
                <w:b/>
              </w:rPr>
            </w:r>
            <w:r>
              <w:rPr>
                <w:b/>
              </w:rPr>
              <w:t>Aprobó</w:t>
            </w:r>
          </w:p>
        </w:tc>
      </w:tr>
      <w:tr>
        <w:tc>
          <w:tcPr>
            <w:tcW w:type="dxa" w:w="1930"/>
          </w:tcPr>
          <w:p>
            <w:r/>
            <w:r>
              <w:t>0.1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Versión inicial (borrador)</w:t>
            </w:r>
          </w:p>
        </w:tc>
        <w:tc>
          <w:tcPr>
            <w:tcW w:type="dxa" w:w="1930"/>
          </w:tcPr>
          <w:p>
            <w:r/>
            <w:r>
              <w:t>Auditoría Interna</w:t>
            </w:r>
          </w:p>
        </w:tc>
        <w:tc>
          <w:tcPr>
            <w:tcW w:type="dxa" w:w="1930"/>
          </w:tcPr>
          <w:p>
            <w:r/>
            <w:r>
              <w:t>—</w:t>
            </w:r>
          </w:p>
        </w:tc>
      </w:tr>
      <w:tr>
        <w:tc>
          <w:tcPr>
            <w:tcW w:type="dxa" w:w="1930"/>
          </w:tcPr>
          <w:p>
            <w:r/>
            <w:r>
              <w:t>1.0</w:t>
            </w:r>
          </w:p>
        </w:tc>
        <w:tc>
          <w:tcPr>
            <w:tcW w:type="dxa" w:w="1930"/>
          </w:tcPr>
          <w:p>
            <w:r/>
            <w:r>
              <w:t>[COMPLETAR]</w:t>
            </w:r>
          </w:p>
        </w:tc>
        <w:tc>
          <w:tcPr>
            <w:tcW w:type="dxa" w:w="1930"/>
          </w:tcPr>
          <w:p>
            <w:r/>
            <w:r>
              <w:t>Aprobación del Directorio</w:t>
            </w:r>
          </w:p>
        </w:tc>
        <w:tc>
          <w:tcPr>
            <w:tcW w:type="dxa" w:w="1930"/>
          </w:tcPr>
          <w:p>
            <w:r/>
            <w:r>
              <w:t>Auditoría Interna</w:t>
            </w:r>
          </w:p>
        </w:tc>
        <w:tc>
          <w:tcPr>
            <w:tcW w:type="dxa" w:w="1930"/>
          </w:tcPr>
          <w:p>
            <w:r/>
            <w:r>
              <w:t>Directorio</w:t>
            </w:r>
          </w:p>
        </w:tc>
      </w:tr>
    </w:tbl>
    <w:p>
      <w:pPr>
        <w:pStyle w:val="Heading2"/>
      </w:pPr>
      <w:r>
        <w:rPr>
          <w:color w:val="1F3B63"/>
        </w:rPr>
        <w:t>5. Ejemplo aplicado al Banco (modelo de referencia)</w:t>
      </w:r>
    </w:p>
    <w:p>
      <w:r>
        <w:t>Ejemplo ilustrativo de cómo quedaría completado. Adaptá a la realidad institucional del Banco.</w:t>
      </w:r>
    </w:p>
    <w:p>
      <w:r>
        <w:rPr>
          <w:b/>
        </w:rPr>
        <w:t>Plan anual (ejemplo Banco 2026):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N.º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Tema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Criterios</w:t>
            </w:r>
          </w:p>
        </w:tc>
        <w:tc>
          <w:tcPr>
            <w:tcW w:type="dxa" w:w="2412"/>
          </w:tcPr>
          <w:p>
            <w:r>
              <w:rPr>
                <w:b/>
              </w:rPr>
            </w:r>
            <w:r>
              <w:rPr>
                <w:b/>
              </w:rPr>
              <w:t>Período</w:t>
            </w:r>
          </w:p>
        </w:tc>
      </w:tr>
      <w:tr>
        <w:tc>
          <w:tcPr>
            <w:tcW w:type="dxa" w:w="2412"/>
          </w:tcPr>
          <w:p>
            <w:r/>
            <w:r>
              <w:t>1</w:t>
            </w:r>
          </w:p>
        </w:tc>
        <w:tc>
          <w:tcPr>
            <w:tcW w:type="dxa" w:w="2412"/>
          </w:tcPr>
          <w:p>
            <w:r/>
            <w:r>
              <w:t>SGSI y gobierno (política, comité, roles)</w:t>
            </w:r>
          </w:p>
        </w:tc>
        <w:tc>
          <w:tcPr>
            <w:tcW w:type="dxa" w:w="2412"/>
          </w:tcPr>
          <w:p>
            <w:r/>
            <w:r>
              <w:t>MCU 5.0 GV · ISO 5</w:t>
            </w:r>
          </w:p>
        </w:tc>
        <w:tc>
          <w:tcPr>
            <w:tcW w:type="dxa" w:w="2412"/>
          </w:tcPr>
          <w:p>
            <w:r/>
            <w:r>
              <w:t>Q1</w:t>
            </w:r>
          </w:p>
        </w:tc>
      </w:tr>
      <w:tr>
        <w:tc>
          <w:tcPr>
            <w:tcW w:type="dxa" w:w="2412"/>
          </w:tcPr>
          <w:p>
            <w:r/>
            <w:r>
              <w:t>2</w:t>
            </w:r>
          </w:p>
        </w:tc>
        <w:tc>
          <w:tcPr>
            <w:tcW w:type="dxa" w:w="2412"/>
          </w:tcPr>
          <w:p>
            <w:r/>
            <w:r>
              <w:t>Accesos y privilegios en el sistema de crédito</w:t>
            </w:r>
          </w:p>
        </w:tc>
        <w:tc>
          <w:tcPr>
            <w:tcW w:type="dxa" w:w="2412"/>
          </w:tcPr>
          <w:p>
            <w:r/>
            <w:r>
              <w:t>ISO A.8.2 · PR-01</w:t>
            </w:r>
          </w:p>
        </w:tc>
        <w:tc>
          <w:tcPr>
            <w:tcW w:type="dxa" w:w="2412"/>
          </w:tcPr>
          <w:p>
            <w:r/>
            <w:r>
              <w:t>Q2</w:t>
            </w:r>
          </w:p>
        </w:tc>
      </w:tr>
      <w:tr>
        <w:tc>
          <w:tcPr>
            <w:tcW w:type="dxa" w:w="2412"/>
          </w:tcPr>
          <w:p>
            <w:r/>
            <w:r>
              <w:t>3</w:t>
            </w:r>
          </w:p>
        </w:tc>
        <w:tc>
          <w:tcPr>
            <w:tcW w:type="dxa" w:w="2412"/>
          </w:tcPr>
          <w:p>
            <w:r/>
            <w:r>
              <w:t>Resguardo de datos y pruebas anuales</w:t>
            </w:r>
          </w:p>
        </w:tc>
        <w:tc>
          <w:tcPr>
            <w:tcW w:type="dxa" w:w="2412"/>
          </w:tcPr>
          <w:p>
            <w:r/>
            <w:r>
              <w:t>RNRCSF art. 492 · PR-05</w:t>
            </w:r>
          </w:p>
        </w:tc>
        <w:tc>
          <w:tcPr>
            <w:tcW w:type="dxa" w:w="2412"/>
          </w:tcPr>
          <w:p>
            <w:r/>
            <w:r>
              <w:t>Q2</w:t>
            </w:r>
          </w:p>
        </w:tc>
      </w:tr>
      <w:tr>
        <w:tc>
          <w:tcPr>
            <w:tcW w:type="dxa" w:w="2412"/>
          </w:tcPr>
          <w:p>
            <w:r/>
            <w:r>
              <w:t>4</w:t>
            </w:r>
          </w:p>
        </w:tc>
        <w:tc>
          <w:tcPr>
            <w:tcW w:type="dxa" w:w="2412"/>
          </w:tcPr>
          <w:p>
            <w:r/>
            <w:r>
              <w:t>Datos personales: bases inscritas, ARCO, vulneraciones</w:t>
            </w:r>
          </w:p>
        </w:tc>
        <w:tc>
          <w:tcPr>
            <w:tcW w:type="dxa" w:w="2412"/>
          </w:tcPr>
          <w:p>
            <w:r/>
            <w:r>
              <w:t>Ley 18.331 · URCDP-01/02/03</w:t>
            </w:r>
          </w:p>
        </w:tc>
        <w:tc>
          <w:tcPr>
            <w:tcW w:type="dxa" w:w="2412"/>
          </w:tcPr>
          <w:p>
            <w:r/>
            <w:r>
              <w:t>Q3</w:t>
            </w:r>
          </w:p>
        </w:tc>
      </w:tr>
      <w:tr>
        <w:tc>
          <w:tcPr>
            <w:tcW w:type="dxa" w:w="2412"/>
          </w:tcPr>
          <w:p>
            <w:r/>
            <w:r>
              <w:t>5</w:t>
            </w:r>
          </w:p>
        </w:tc>
        <w:tc>
          <w:tcPr>
            <w:tcW w:type="dxa" w:w="2412"/>
          </w:tcPr>
          <w:p>
            <w:r/>
            <w:r>
              <w:t>Tercerizaciones de TI y cláusulas de seguridad</w:t>
            </w:r>
          </w:p>
        </w:tc>
        <w:tc>
          <w:tcPr>
            <w:tcW w:type="dxa" w:w="2412"/>
          </w:tcPr>
          <w:p>
            <w:r/>
            <w:r>
              <w:t>Circ. 2419-2422 · GV-05</w:t>
            </w:r>
          </w:p>
        </w:tc>
        <w:tc>
          <w:tcPr>
            <w:tcW w:type="dxa" w:w="2412"/>
          </w:tcPr>
          <w:p>
            <w:r/>
            <w:r>
              <w:t>Q3</w:t>
            </w:r>
          </w:p>
        </w:tc>
      </w:tr>
      <w:tr>
        <w:tc>
          <w:tcPr>
            <w:tcW w:type="dxa" w:w="2412"/>
          </w:tcPr>
          <w:p>
            <w:r/>
            <w:r>
              <w:t>6</w:t>
            </w:r>
          </w:p>
        </w:tc>
        <w:tc>
          <w:tcPr>
            <w:tcW w:type="dxa" w:w="2412"/>
          </w:tcPr>
          <w:p>
            <w:r/>
            <w:r>
              <w:t>Continuidad: BCP/DRP y simulacros</w:t>
            </w:r>
          </w:p>
        </w:tc>
        <w:tc>
          <w:tcPr>
            <w:tcW w:type="dxa" w:w="2412"/>
          </w:tcPr>
          <w:p>
            <w:r/>
            <w:r>
              <w:t>EMG Continuidad · BCU-06</w:t>
            </w:r>
          </w:p>
        </w:tc>
        <w:tc>
          <w:tcPr>
            <w:tcW w:type="dxa" w:w="2412"/>
          </w:tcPr>
          <w:p>
            <w:r/>
            <w:r>
              <w:t>Q4</w:t>
            </w:r>
          </w:p>
        </w:tc>
      </w:tr>
    </w:tbl>
    <w:p>
      <w:r>
        <w:rPr>
          <w:b/>
        </w:rPr>
        <w:t>Hallazgo (ejemplo):</w:t>
      </w:r>
      <w:r>
        <w:t xml:space="preserve"> la auditoría de accesos de Q2 detectó [N] usuarios con privilegios administrativos activos que no eran necesarios para su función (hallazgo ALTO). El área responsable presentó el plan de corrección (revocación inmediata de [N] perfiles y revisión trimestral), que fue verificado por Auditoría Interna en la revisión de Q3 y cerrado en plazo.</w:t>
      </w:r>
    </w:p>
    <w:p>
      <w:r>
        <w:rPr>
          <w:b/>
        </w:rPr>
        <w:t>Reporte (ejemplo):</w:t>
      </w:r>
      <w:r>
        <w:t xml:space="preserve"> el informe anual de auditoría se presentó al Directorio en [mes], con 2 hallazgos altos corregidos, 1 medio en proceso y 0 críticos pendientes. El Directorio aprobó incorporar la auditoría de ciberseguridad externa para [año siguiente] con el fin de cubrir la evaluación técnica del sistema central.</w:t>
      </w:r>
    </w:p>
    <w:p>
      <w:r>
        <w:rPr>
          <w:b/>
        </w:rPr>
        <w:t>Documentos relacionados:</w:t>
      </w:r>
      <w:r>
        <w:t xml:space="preserve"> BCU-01 (Gobierno), BCU-03 (Función de Seguridad), GV-06 (Informe del RSI), GV-03 (Roles y Comité), ID-02 (Metodología de riesgo), URCDP-01 (Documento de Seguridad de Datos), 00-Matriz-Correspondencia-Normativa.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