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URCDP-03 · Procedimiento de Atención de Derechos ARCO</w:t>
      </w:r>
    </w:p>
    <w:p>
      <w:pPr>
        <w:ind w:left="432"/>
      </w:pPr>
      <w:r>
        <w:rPr>
          <w:i/>
          <w:color w:val="606060"/>
        </w:rPr>
        <w:t>**Función del MCU 5.0:** Proteger (PR.DS — Seguridad de datos) y Responder (RS.CO — Coordinación de respuesta)</w:t>
      </w:r>
    </w:p>
    <w:p>
      <w:pPr>
        <w:ind w:left="432"/>
      </w:pPr>
      <w:r>
        <w:rPr>
          <w:i/>
          <w:color w:val="606060"/>
        </w:rPr>
        <w:t>**ISO/IEC 27001:** A.5.1 (Políticas) · A.5.2 (Roles) · A.8.11 (Retención) · A.8.12 (Eliminación segura)</w:t>
      </w:r>
    </w:p>
    <w:p>
      <w:pPr>
        <w:ind w:left="432"/>
      </w:pPr>
      <w:r>
        <w:rPr>
          <w:i/>
          <w:color w:val="606060"/>
        </w:rPr>
        <w:t>**BCU:** RNRCSF art. 492 (seguridad de la información) · Circulares 2227 y 2419-2422 (secreto bancario)</w:t>
      </w:r>
    </w:p>
    <w:p>
      <w:pPr>
        <w:ind w:left="432"/>
      </w:pPr>
      <w:r>
        <w:rPr>
          <w:i/>
          <w:color w:val="606060"/>
        </w:rPr>
        <w:t>**URCDP:** Ley 18.331 (arts. 14, 15, 16 y 17) · Ley 19.670 (art. 37) · Decreto 64/020 (art. 3)</w:t>
      </w:r>
    </w:p>
    <w:p>
      <w:pPr>
        <w:ind w:left="432"/>
      </w:pPr>
      <w:r>
        <w:rPr>
          <w:i/>
          <w:color w:val="606060"/>
        </w:rPr>
        <w:t>**Nivel del curso:** 🟡 Practicar · 🔴 Dominar</w:t>
      </w:r>
    </w:p>
    <w:p>
      <w:pPr>
        <w:pStyle w:val="Heading2"/>
      </w:pPr>
      <w:r>
        <w:rPr>
          <w:color w:val="1F3B63"/>
        </w:rPr>
        <w:t>1. Qué es y por qué existe</w:t>
      </w:r>
    </w:p>
    <w:p>
      <w:r>
        <w:t xml:space="preserve">La Ley 18.331 reconoce a toda persona física el derecho a </w:t>
      </w:r>
      <w:r>
        <w:rPr>
          <w:b/>
        </w:rPr>
        <w:t>acceder, rectificar, cancelar (suprimir) y oponerse</w:t>
      </w:r>
      <w:r>
        <w:t xml:space="preserve"> (derechos ARCO) al tratamiento de sus datos personales. El Banco, como responsable de tratamiento, debe recibir, tramitar y responder estas solicitudes dentro de plazos legales estrictos: </w:t>
      </w:r>
      <w:r>
        <w:rPr>
          <w:b/>
        </w:rPr>
        <w:t>20 días hábiles</w:t>
      </w:r>
      <w:r>
        <w:t xml:space="preserve"> para el acceso (art. 14) y </w:t>
      </w:r>
      <w:r>
        <w:rPr>
          <w:b/>
        </w:rPr>
        <w:t>5 días hábiles</w:t>
      </w:r>
      <w:r>
        <w:t xml:space="preserve"> para la rectificación, actualización, inclusión o supresión (art. 15).</w:t>
      </w:r>
    </w:p>
    <w:p>
      <w:r>
        <w:t xml:space="preserve">Este procedimiento existe para que el ejercicio de esos derechos sea </w:t>
      </w:r>
      <w:r>
        <w:rPr>
          <w:b/>
        </w:rPr>
        <w:t>gratuito, oportuno y documentado</w:t>
      </w:r>
      <w:r>
        <w:t xml:space="preserve">, y para prevenir denuncias ante la </w:t>
      </w:r>
      <w:r>
        <w:rPr>
          <w:b/>
        </w:rPr>
        <w:t>URCDP</w:t>
      </w:r>
      <w:r>
        <w:t xml:space="preserve"> por incumplimiento. También protege al banco: una respuesta tardía o inexistente puede derivar en sanciones y en pérdida de confianza de los titulares (clientes, funcionarios, escribanos, etc.).</w:t>
      </w:r>
    </w:p>
    <w:p>
      <w:r>
        <w:t xml:space="preserve">Se usa </w:t>
      </w:r>
      <w:r>
        <w:rPr>
          <w:b/>
        </w:rPr>
        <w:t>inmediatamente después</w:t>
      </w:r>
      <w:r>
        <w:t xml:space="preserve"> de aprobar el Documento de Seguridad (URCDP-01) y de designar al Delegado de Protección de Datos (URCDP-06): primero se define quién responde y bajo qué medidas, después se instrumenta cómo se atiende cada derecho. Se relaciona directamente con la notificación de vulneraciones (URCDP-02) y con la inscripción de bases (URCDP-04).</w:t>
      </w:r>
    </w:p>
    <w:p>
      <w:pPr>
        <w:pStyle w:val="Heading2"/>
      </w:pPr>
      <w:r>
        <w:rPr>
          <w:color w:val="1F3B63"/>
        </w:rPr>
        <w:t>2. Marco de referencia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Requisito</w:t>
            </w:r>
          </w:p>
        </w:tc>
        <w:tc>
          <w:tcPr>
            <w:tcW w:type="dxa" w:w="3216"/>
          </w:tcPr>
          <w:p>
            <w:r>
              <w:rPr>
                <w:b/>
              </w:rPr>
            </w:r>
            <w:r>
              <w:rPr>
                <w:b/>
              </w:rPr>
              <w:t>URCDP / Norma</w:t>
            </w:r>
          </w:p>
        </w:tc>
        <w:tc>
          <w:tcPr>
            <w:tcW w:type="dxa" w:w="3216"/>
          </w:tcPr>
          <w:p>
            <w:r>
              <w:rPr>
                <w:b/>
              </w:rPr>
            </w:r>
            <w:r>
              <w:rPr>
                <w:b/>
              </w:rPr>
              <w:t>Detalle clave</w:t>
            </w:r>
          </w:p>
        </w:tc>
      </w:tr>
      <w:tr>
        <w:tc>
          <w:tcPr>
            <w:tcW w:type="dxa" w:w="3216"/>
          </w:tcPr>
          <w:p>
            <w:r/>
            <w:r>
              <w:t>Derecho de acceso</w:t>
            </w:r>
          </w:p>
        </w:tc>
        <w:tc>
          <w:tcPr>
            <w:tcW w:type="dxa" w:w="3216"/>
          </w:tcPr>
          <w:p>
            <w:r/>
            <w:r>
              <w:t xml:space="preserve">Ley 18.331, </w:t>
            </w:r>
            <w:r>
              <w:rPr>
                <w:b/>
              </w:rPr>
              <w:t>art. 14</w:t>
            </w:r>
          </w:p>
        </w:tc>
        <w:tc>
          <w:tcPr>
            <w:tcW w:type="dxa" w:w="3216"/>
          </w:tcPr>
          <w:p>
            <w:r/>
            <w:r>
              <w:t xml:space="preserve">Respuesta en </w:t>
            </w:r>
            <w:r>
              <w:rPr>
                <w:b/>
              </w:rPr>
              <w:t>20 días hábiles</w:t>
            </w:r>
            <w:r>
              <w:t>; el titular puede denunciar ante la URCDP si no responde</w:t>
            </w:r>
          </w:p>
        </w:tc>
      </w:tr>
      <w:tr>
        <w:tc>
          <w:tcPr>
            <w:tcW w:type="dxa" w:w="3216"/>
          </w:tcPr>
          <w:p>
            <w:r/>
            <w:r>
              <w:t>Rectificación, actualización, inclusión o supresión</w:t>
            </w:r>
          </w:p>
        </w:tc>
        <w:tc>
          <w:tcPr>
            <w:tcW w:type="dxa" w:w="3216"/>
          </w:tcPr>
          <w:p>
            <w:r/>
            <w:r>
              <w:t xml:space="preserve">Ley 18.331, </w:t>
            </w:r>
            <w:r>
              <w:rPr>
                <w:b/>
              </w:rPr>
              <w:t>art. 15</w:t>
            </w:r>
          </w:p>
        </w:tc>
        <w:tc>
          <w:tcPr>
            <w:tcW w:type="dxa" w:w="3216"/>
          </w:tcPr>
          <w:p>
            <w:r/>
            <w:r>
              <w:t xml:space="preserve">Respuesta en </w:t>
            </w:r>
            <w:r>
              <w:rPr>
                <w:b/>
              </w:rPr>
              <w:t>5 días hábiles</w:t>
            </w:r>
            <w:r>
              <w:t xml:space="preserve"> desde la solicitud o la prueba aportada</w:t>
            </w:r>
          </w:p>
        </w:tc>
      </w:tr>
      <w:tr>
        <w:tc>
          <w:tcPr>
            <w:tcW w:type="dxa" w:w="3216"/>
          </w:tcPr>
          <w:p>
            <w:r/>
            <w:r>
              <w:t>Derecho de oposición</w:t>
            </w:r>
          </w:p>
        </w:tc>
        <w:tc>
          <w:tcPr>
            <w:tcW w:type="dxa" w:w="3216"/>
          </w:tcPr>
          <w:p>
            <w:r/>
            <w:r>
              <w:t xml:space="preserve">Ley 18.331, </w:t>
            </w:r>
            <w:r>
              <w:rPr>
                <w:b/>
              </w:rPr>
              <w:t>art. 16</w:t>
            </w:r>
          </w:p>
        </w:tc>
        <w:tc>
          <w:tcPr>
            <w:tcW w:type="dxa" w:w="3216"/>
          </w:tcPr>
          <w:p>
            <w:r/>
            <w:r>
              <w:t>Denegable por motivos legítimos, con comunicación fundada</w:t>
            </w:r>
          </w:p>
        </w:tc>
      </w:tr>
      <w:tr>
        <w:tc>
          <w:tcPr>
            <w:tcW w:type="dxa" w:w="3216"/>
          </w:tcPr>
          <w:p>
            <w:r/>
            <w:r>
              <w:t>Impugnación de valoraciones personales</w:t>
            </w:r>
          </w:p>
        </w:tc>
        <w:tc>
          <w:tcPr>
            <w:tcW w:type="dxa" w:w="3216"/>
          </w:tcPr>
          <w:p>
            <w:r/>
            <w:r>
              <w:t xml:space="preserve">Ley 18.331, </w:t>
            </w:r>
            <w:r>
              <w:rPr>
                <w:b/>
              </w:rPr>
              <w:t>art. 17</w:t>
            </w:r>
          </w:p>
        </w:tc>
        <w:tc>
          <w:tcPr>
            <w:tcW w:type="dxa" w:w="3216"/>
          </w:tcPr>
          <w:p>
            <w:r/>
            <w:r>
              <w:t>Derecho a oponerse a decisiones basadas en evaluaciones de conducta o solvencia</w:t>
            </w:r>
          </w:p>
        </w:tc>
      </w:tr>
      <w:tr>
        <w:tc>
          <w:tcPr>
            <w:tcW w:type="dxa" w:w="3216"/>
          </w:tcPr>
          <w:p>
            <w:r/>
            <w:r>
              <w:t>Delegado de Protección de Datos</w:t>
            </w:r>
          </w:p>
        </w:tc>
        <w:tc>
          <w:tcPr>
            <w:tcW w:type="dxa" w:w="3216"/>
          </w:tcPr>
          <w:p>
            <w:r/>
            <w:r>
              <w:t xml:space="preserve">Ley 19.670, </w:t>
            </w:r>
            <w:r>
              <w:rPr>
                <w:b/>
              </w:rPr>
              <w:t>art. 37</w:t>
            </w:r>
          </w:p>
        </w:tc>
        <w:tc>
          <w:tcPr>
            <w:tcW w:type="dxa" w:w="3216"/>
          </w:tcPr>
          <w:p>
            <w:r/>
            <w:r>
              <w:t>El DPD supervisa la atención de derechos</w:t>
            </w:r>
          </w:p>
        </w:tc>
      </w:tr>
      <w:tr>
        <w:tc>
          <w:tcPr>
            <w:tcW w:type="dxa" w:w="3216"/>
          </w:tcPr>
          <w:p>
            <w:r/>
            <w:r>
              <w:t>Responsabilidad proactiva</w:t>
            </w:r>
          </w:p>
        </w:tc>
        <w:tc>
          <w:tcPr>
            <w:tcW w:type="dxa" w:w="3216"/>
          </w:tcPr>
          <w:p>
            <w:r/>
            <w:r>
              <w:t xml:space="preserve">Ley 19.670, </w:t>
            </w:r>
            <w:r>
              <w:rPr>
                <w:b/>
              </w:rPr>
              <w:t>art. 39</w:t>
            </w:r>
          </w:p>
        </w:tc>
        <w:tc>
          <w:tcPr>
            <w:tcW w:type="dxa" w:w="3216"/>
          </w:tcPr>
          <w:p>
            <w:r/>
            <w:r>
              <w:t>El responsable demuestra el cumplimiento</w:t>
            </w:r>
          </w:p>
        </w:tc>
      </w:tr>
      <w:tr>
        <w:tc>
          <w:tcPr>
            <w:tcW w:type="dxa" w:w="3216"/>
          </w:tcPr>
          <w:p>
            <w:r/>
            <w:r>
              <w:t>Medidas de seguridad</w:t>
            </w:r>
          </w:p>
        </w:tc>
        <w:tc>
          <w:tcPr>
            <w:tcW w:type="dxa" w:w="3216"/>
          </w:tcPr>
          <w:p>
            <w:r/>
            <w:r>
              <w:t xml:space="preserve">Decreto 64/020, </w:t>
            </w:r>
            <w:r>
              <w:rPr>
                <w:b/>
              </w:rPr>
              <w:t>art. 3</w:t>
            </w:r>
          </w:p>
        </w:tc>
        <w:tc>
          <w:tcPr>
            <w:tcW w:type="dxa" w:w="3216"/>
          </w:tcPr>
          <w:p>
            <w:r/>
            <w:r>
              <w:t>Tratamiento seguro y documentado</w:t>
            </w:r>
          </w:p>
        </w:tc>
      </w:tr>
      <w:tr>
        <w:tc>
          <w:tcPr>
            <w:tcW w:type="dxa" w:w="3216"/>
          </w:tcPr>
          <w:p>
            <w:r/>
            <w:r>
              <w:t>Gratuidad</w:t>
            </w:r>
          </w:p>
        </w:tc>
        <w:tc>
          <w:tcPr>
            <w:tcW w:type="dxa" w:w="3216"/>
          </w:tcPr>
          <w:p>
            <w:r/>
            <w:r>
              <w:t>Criterio URCDP</w:t>
            </w:r>
          </w:p>
        </w:tc>
        <w:tc>
          <w:tcPr>
            <w:tcW w:type="dxa" w:w="3216"/>
          </w:tcPr>
          <w:p>
            <w:r/>
            <w:r>
              <w:t>El ejercicio de derechos no admite cargos, salvo autorización excepcional</w:t>
            </w:r>
          </w:p>
        </w:tc>
      </w:tr>
    </w:tbl>
    <w:p>
      <w:pPr>
        <w:pStyle w:val="Heading2"/>
      </w:pPr>
      <w:r>
        <w:rPr>
          <w:color w:val="1F3B63"/>
        </w:rPr>
        <w:t>3. Cómo completar esta plantilla (guía de llenado)</w:t>
      </w:r>
    </w:p>
    <w:p>
      <w:pPr>
        <w:pStyle w:val="ListNumber"/>
      </w:pPr>
      <w:r>
        <w:rPr>
          <w:b/>
        </w:rPr>
        <w:t>Designá al DPD</w:t>
      </w:r>
      <w:r>
        <w:t xml:space="preserve"> (URCDP-06) y confirmá su rol en la atención de derechos ante la URCDP.</w:t>
      </w:r>
    </w:p>
    <w:p>
      <w:pPr>
        <w:pStyle w:val="ListNumber"/>
      </w:pPr>
      <w:r>
        <w:rPr>
          <w:b/>
        </w:rPr>
        <w:t>Definí los canales habilitados</w:t>
      </w:r>
      <w:r>
        <w:t xml:space="preserve"> de presentación (físico, correo, formulario web) y publicálos junto con los datos de contacto del DPD.</w:t>
      </w:r>
    </w:p>
    <w:p>
      <w:pPr>
        <w:pStyle w:val="ListNumber"/>
      </w:pPr>
      <w:r>
        <w:rPr>
          <w:b/>
        </w:rPr>
        <w:t>Establecé el registro único de solicitudes</w:t>
      </w:r>
      <w:r>
        <w:t xml:space="preserve"> (Anexo 3): fecha, derecho invocado, canal, unidad derivada y estado.</w:t>
      </w:r>
    </w:p>
    <w:p>
      <w:pPr>
        <w:pStyle w:val="ListNumber"/>
      </w:pPr>
      <w:r>
        <w:rPr>
          <w:b/>
        </w:rPr>
        <w:t>Fijá los plazos y las responsabilidades por unidad</w:t>
      </w:r>
      <w:r>
        <w:t xml:space="preserve"> (mesa de entrada, DPD, División TI, dueños de proceso), alineados con los arts. 14 y 15.</w:t>
      </w:r>
    </w:p>
    <w:p>
      <w:pPr>
        <w:pStyle w:val="ListNumber"/>
      </w:pPr>
      <w:r>
        <w:rPr>
          <w:b/>
        </w:rPr>
        <w:t>Determiná el contenido tipo de la respuesta</w:t>
      </w:r>
      <w:r>
        <w:t xml:space="preserve"> (Anexo 2): resultado, datos alcanzados, medidas, fundamentos de la denegación y vía de reclamo ante la URCDP.</w:t>
      </w:r>
    </w:p>
    <w:p>
      <w:pPr>
        <w:pStyle w:val="ListNumber"/>
      </w:pPr>
      <w:r>
        <w:rPr>
          <w:b/>
        </w:rPr>
        <w:t>Preveé los casos especiales</w:t>
      </w:r>
      <w:r>
        <w:t>: representantes, solicitudes de encargados, datos de videovigilancia, solicitudes abusivas y colaboración con la URCDP.</w:t>
      </w:r>
    </w:p>
    <w:p>
      <w:pPr>
        <w:pStyle w:val="ListNumber"/>
      </w:pPr>
      <w:r>
        <w:rPr>
          <w:b/>
        </w:rPr>
        <w:t>Revisalo con el DPD y el RSI</w:t>
      </w:r>
      <w:r>
        <w:t xml:space="preserve"> y aprobalo por la Dirección; registralo en el control de cambios y actualizalo ante cambios normativos.</w:t>
      </w:r>
    </w:p>
    <w:p>
      <w:pPr>
        <w:pStyle w:val="Heading2"/>
      </w:pPr>
      <w:r>
        <w:rPr>
          <w:color w:val="1F3B63"/>
        </w:rPr>
        <w:t>4. Plantilla del documento</w:t>
      </w:r>
    </w:p>
    <w:p>
      <w:pPr>
        <w:pStyle w:val="Heading3"/>
      </w:pPr>
      <w:r>
        <w:rPr>
          <w:color w:val="1F3B63"/>
        </w:rPr>
        <w:t>ENCABEZADO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Código</w:t>
            </w:r>
          </w:p>
        </w:tc>
        <w:tc>
          <w:tcPr>
            <w:tcW w:type="dxa" w:w="4824"/>
          </w:tcPr>
          <w:p>
            <w:r/>
            <w:r>
              <w:t>URCDP-03</w:t>
            </w:r>
          </w:p>
        </w:tc>
      </w:tr>
      <w:tr>
        <w:tc>
          <w:tcPr>
            <w:tcW w:type="dxa" w:w="4824"/>
          </w:tcPr>
          <w:p>
            <w:r/>
            <w:r>
              <w:rPr>
                <w:b/>
              </w:rPr>
              <w:t>Título</w:t>
            </w:r>
          </w:p>
        </w:tc>
        <w:tc>
          <w:tcPr>
            <w:tcW w:type="dxa" w:w="4824"/>
          </w:tcPr>
          <w:p>
            <w:r/>
            <w:r>
              <w:t>Procedimiento de Atención de Derechos ARCO</w:t>
            </w:r>
          </w:p>
        </w:tc>
      </w:tr>
      <w:tr>
        <w:tc>
          <w:tcPr>
            <w:tcW w:type="dxa" w:w="4824"/>
          </w:tcPr>
          <w:p>
            <w:r/>
            <w:r>
              <w:rPr>
                <w:b/>
              </w:rPr>
              <w:t>Versión</w:t>
            </w:r>
          </w:p>
        </w:tc>
        <w:tc>
          <w:tcPr>
            <w:tcW w:type="dxa" w:w="4824"/>
          </w:tcPr>
          <w:p>
            <w:r/>
            <w:r>
              <w:t>1.0</w:t>
            </w:r>
          </w:p>
        </w:tc>
      </w:tr>
      <w:tr>
        <w:tc>
          <w:tcPr>
            <w:tcW w:type="dxa" w:w="4824"/>
          </w:tcPr>
          <w:p>
            <w:r/>
            <w:r>
              <w:rPr>
                <w:b/>
              </w:rPr>
              <w:t>Estado</w:t>
            </w:r>
          </w:p>
        </w:tc>
        <w:tc>
          <w:tcPr>
            <w:tcW w:type="dxa" w:w="4824"/>
          </w:tcPr>
          <w:p>
            <w:r/>
            <w:r>
              <w:t>[Borrador / En revisión / Aprobado]</w:t>
            </w:r>
          </w:p>
        </w:tc>
      </w:tr>
      <w:tr>
        <w:tc>
          <w:tcPr>
            <w:tcW w:type="dxa" w:w="4824"/>
          </w:tcPr>
          <w:p>
            <w:r/>
            <w:r>
              <w:rPr>
                <w:b/>
              </w:rPr>
              <w:t>Fecha de aprobación</w:t>
            </w:r>
          </w:p>
        </w:tc>
        <w:tc>
          <w:tcPr>
            <w:tcW w:type="dxa" w:w="4824"/>
          </w:tcPr>
          <w:p>
            <w:r/>
            <w:r>
              <w:t>[COMPLETAR]</w:t>
            </w:r>
          </w:p>
        </w:tc>
      </w:tr>
      <w:tr>
        <w:tc>
          <w:tcPr>
            <w:tcW w:type="dxa" w:w="4824"/>
          </w:tcPr>
          <w:p>
            <w:r/>
            <w:r>
              <w:rPr>
                <w:b/>
              </w:rPr>
              <w:t>Elaborado por</w:t>
            </w:r>
          </w:p>
        </w:tc>
        <w:tc>
          <w:tcPr>
            <w:tcW w:type="dxa" w:w="4824"/>
          </w:tcPr>
          <w:p>
            <w:r/>
            <w:r>
              <w:t>Delegado de Protección de Datos (DPD)</w:t>
            </w:r>
          </w:p>
        </w:tc>
      </w:tr>
      <w:tr>
        <w:tc>
          <w:tcPr>
            <w:tcW w:type="dxa" w:w="4824"/>
          </w:tcPr>
          <w:p>
            <w:r/>
            <w:r>
              <w:rPr>
                <w:b/>
              </w:rPr>
              <w:t>Revisado por</w:t>
            </w:r>
          </w:p>
        </w:tc>
        <w:tc>
          <w:tcPr>
            <w:tcW w:type="dxa" w:w="4824"/>
          </w:tcPr>
          <w:p>
            <w:r/>
            <w:r>
              <w:t>RSI</w:t>
            </w:r>
          </w:p>
        </w:tc>
      </w:tr>
      <w:tr>
        <w:tc>
          <w:tcPr>
            <w:tcW w:type="dxa" w:w="4824"/>
          </w:tcPr>
          <w:p>
            <w:r/>
            <w:r>
              <w:rPr>
                <w:b/>
              </w:rPr>
              <w:t>Aprobado por</w:t>
            </w:r>
          </w:p>
        </w:tc>
        <w:tc>
          <w:tcPr>
            <w:tcW w:type="dxa" w:w="4824"/>
          </w:tcPr>
          <w:p>
            <w:r/>
            <w:r>
              <w:t>Dirección</w:t>
            </w:r>
          </w:p>
        </w:tc>
      </w:tr>
      <w:tr>
        <w:tc>
          <w:tcPr>
            <w:tcW w:type="dxa" w:w="4824"/>
          </w:tcPr>
          <w:p>
            <w:r/>
            <w:r>
              <w:rPr>
                <w:b/>
              </w:rPr>
              <w:t>Clasificación</w:t>
            </w:r>
          </w:p>
        </w:tc>
        <w:tc>
          <w:tcPr>
            <w:tcW w:type="dxa" w:w="4824"/>
          </w:tcPr>
          <w:p>
            <w:r/>
            <w:r>
              <w:t>Uso interno</w:t>
            </w:r>
          </w:p>
        </w:tc>
      </w:tr>
      <w:tr>
        <w:tc>
          <w:tcPr>
            <w:tcW w:type="dxa" w:w="4824"/>
          </w:tcPr>
          <w:p>
            <w:r/>
            <w:r>
              <w:rPr>
                <w:b/>
              </w:rPr>
              <w:t>Próxima revisión</w:t>
            </w:r>
          </w:p>
        </w:tc>
        <w:tc>
          <w:tcPr>
            <w:tcW w:type="dxa" w:w="4824"/>
          </w:tcPr>
          <w:p>
            <w:r/>
            <w:r>
              <w:t>[Fecha, máx. 1 año]</w:t>
            </w:r>
          </w:p>
        </w:tc>
      </w:tr>
    </w:tbl>
    <w:p>
      <w:pPr>
        <w:pStyle w:val="Heading3"/>
      </w:pPr>
      <w:r>
        <w:rPr>
          <w:color w:val="1F3B63"/>
        </w:rPr>
        <w:t>1. Objetivo</w:t>
      </w:r>
    </w:p>
    <w:p>
      <w:r>
        <w:t xml:space="preserve">Establecer el procedimiento del Banco para recibir, tramitar y responder las solicitudes de ejercicio de los derechos de </w:t>
      </w:r>
      <w:r>
        <w:rPr>
          <w:b/>
        </w:rPr>
        <w:t>Acceso, Rectificación, Cancelación (supresión) y Oposición (ARCO)</w:t>
      </w:r>
      <w:r>
        <w:t>, garantizando su ejercicio gratuito, oportuno y documentado bajo la supervisión del DPD, dentro de los plazos legales y previniendo denuncias ante la URCDP.</w:t>
      </w:r>
    </w:p>
    <w:p>
      <w:pPr>
        <w:pStyle w:val="Heading3"/>
      </w:pPr>
      <w:r>
        <w:rPr>
          <w:color w:val="1F3B63"/>
        </w:rPr>
        <w:t>2. Alcance</w:t>
      </w:r>
    </w:p>
    <w:p>
      <w:r>
        <w:t xml:space="preserve">Aplica a todas las solicitudes ARCO presentadas por titulares de datos personales ante el Banco, por cualquier canal habilitado, referidas a datos tratados por el Banco, cualquiera sea la base de datos y la unidad que los utilice. Incluye solicitudes derivadas de tratamientos realizados por </w:t>
      </w:r>
      <w:r>
        <w:rPr>
          <w:b/>
        </w:rPr>
        <w:t>encargados</w:t>
      </w:r>
      <w:r>
        <w:t xml:space="preserve">, quienes deben dar traslado inmediato al Banco, y solicitudes sobre datos de </w:t>
      </w:r>
      <w:r>
        <w:rPr>
          <w:b/>
        </w:rPr>
        <w:t>Banco En Línea</w:t>
      </w:r>
      <w:r>
        <w:t>, bases de crédito hipotecario y ahorro, registros de funcionarios, escribanos intervinientes y videovigilancia de sucursales.</w:t>
      </w:r>
    </w:p>
    <w:p>
      <w:r>
        <w:t>No ampara solicitudes manifiestamente contrarias a la ley ni datos que no permitan identificar al titular.</w:t>
      </w:r>
    </w:p>
    <w:p>
      <w:pPr>
        <w:pStyle w:val="Heading3"/>
      </w:pPr>
      <w:r>
        <w:rPr>
          <w:color w:val="1F3B63"/>
        </w:rPr>
        <w:t>3. Canales de presentación y documentación requerida</w:t>
      </w:r>
    </w:p>
    <w:p>
      <w:r>
        <w:rPr>
          <w:b/>
        </w:rPr>
        <w:t>Canales:</w:t>
      </w:r>
      <w:r>
        <w:t xml:space="preserve"> [COMPLETAR, por ejemplo: (a) mesa de entrada física de Casa Central y sucursales; (b) correo electrónico del DPD (dpo@bhu.com.uy); (c) formulario web en Banco En Línea; (d) correspondencia postal certificada]. Se facilita un formulario modelo (Anexo 1) sin que su uso sea obligatorio: el titular puede presentar la solicitud en forma libre.</w:t>
      </w:r>
    </w:p>
    <w:p>
      <w:r>
        <w:rPr>
          <w:b/>
        </w:rPr>
        <w:t>Documentación:</w:t>
      </w:r>
      <w:r>
        <w:t xml:space="preserve"> el titular debe acreditar identidad (cédula vigente o documento equivalente). Si actúa mediante representante, se exige poder o autorización suficiente. En caso de duda se puede requerir información adicional para verificar, sin que ello suspenda el cómputo de plazos.</w:t>
      </w:r>
    </w:p>
    <w:p>
      <w:pPr>
        <w:pStyle w:val="Heading3"/>
      </w:pPr>
      <w:r>
        <w:rPr>
          <w:color w:val="1F3B63"/>
        </w:rPr>
        <w:t>4. Registro y acuse de recibo</w:t>
      </w:r>
    </w:p>
    <w:p>
      <w:r>
        <w:t xml:space="preserve">Toda solicitud se registra en el </w:t>
      </w:r>
      <w:r>
        <w:rPr>
          <w:b/>
        </w:rPr>
        <w:t>Registro de Solicitudes ARCO</w:t>
      </w:r>
      <w:r>
        <w:t xml:space="preserve"> (Anexo 3) con fecha de recepción, tipo de derecho, canal y unidad derivada. Se entrega acuse de recibo con fecha, lo que determina el inicio del cómputo de plazos. Si se presenta ante una unidad distinta del DPD, esa unidad la remite al DPD el mismo día, sin alterar la fecha de recepción original.</w:t>
      </w:r>
    </w:p>
    <w:p>
      <w:pPr>
        <w:pStyle w:val="Heading3"/>
      </w:pPr>
      <w:r>
        <w:rPr>
          <w:color w:val="1F3B63"/>
        </w:rPr>
        <w:t>5. Plazos y contenido de la respuesta</w:t>
      </w:r>
    </w:p>
    <w:p>
      <w:r>
        <w:rPr>
          <w:b/>
        </w:rPr>
        <w:t>Plazos:</w:t>
      </w:r>
    </w:p>
    <w:p>
      <w:pPr>
        <w:pStyle w:val="ListBullet"/>
      </w:pPr>
      <w:r>
        <w:rPr>
          <w:b/>
        </w:rPr>
        <w:t>Acceso (art. 14):</w:t>
      </w:r>
      <w:r>
        <w:t xml:space="preserve"> 20 días hábiles desde la presentación.</w:t>
      </w:r>
    </w:p>
    <w:p>
      <w:pPr>
        <w:pStyle w:val="ListBullet"/>
      </w:pPr>
      <w:r>
        <w:rPr>
          <w:b/>
        </w:rPr>
        <w:t>Rectificación, actualización, inclusión o supresión (art. 15):</w:t>
      </w:r>
      <w:r>
        <w:t xml:space="preserve"> 5 días hábiles desde la solicitud o desde la prueba correspondiente.</w:t>
      </w:r>
    </w:p>
    <w:p>
      <w:pPr>
        <w:pStyle w:val="ListBullet"/>
      </w:pPr>
      <w:r>
        <w:rPr>
          <w:b/>
        </w:rPr>
        <w:t>Oposición (art. 16):</w:t>
      </w:r>
      <w:r>
        <w:t xml:space="preserve"> puede denegarse por motivos legítimos, con comunicación fundada al titular indicando las normas en que se basa la negativa.</w:t>
      </w:r>
    </w:p>
    <w:p>
      <w:pPr>
        <w:pStyle w:val="ListBullet"/>
      </w:pPr>
      <w:r>
        <w:t>Cuando existan datos en varias bases, el plazo se computa sobre el tratamiento completo del derecho solicitado.</w:t>
      </w:r>
    </w:p>
    <w:p>
      <w:r>
        <w:rPr>
          <w:b/>
        </w:rPr>
        <w:t>Contenido de la respuesta:</w:t>
      </w:r>
      <w:r>
        <w:t xml:space="preserve"> se responde por escrito y en lenguaje claro, indicando: resultado de la gestión (satisfacción total, parcial o denegación), datos alcanzados, medidas adoptadas, fundamentos de la denegación si correspondiera y la vía de reclamo ante la URCDP. En el caso de acceso se acompaña copia o informe de los datos, sin perjuicio de las excepciones legales. La respuesta se archiva con la solicitud en el expediente.</w:t>
      </w:r>
    </w:p>
    <w:p>
      <w:pPr>
        <w:pStyle w:val="Heading3"/>
      </w:pPr>
      <w:r>
        <w:rPr>
          <w:color w:val="1F3B63"/>
        </w:rPr>
        <w:t>6. Modo de ejercicio y límites</w:t>
      </w:r>
    </w:p>
    <w:p>
      <w:r>
        <w:t xml:space="preserve">El ejercicio es </w:t>
      </w:r>
      <w:r>
        <w:rPr>
          <w:b/>
        </w:rPr>
        <w:t>gratuito</w:t>
      </w:r>
      <w:r>
        <w:t>. Ante solicitudes manifiestamente reiteradas o abusivas, el Banco podrá solicitar a la URCDP autorización para el cobro de un costo razonable, conforme a la normativa vigente. La respuesta al titular no condiciona otros derechos contractuales del cliente con el Banco ni el cumplimiento de obligaciones legales de retención de datos.</w:t>
      </w:r>
    </w:p>
    <w:p>
      <w:pPr>
        <w:pStyle w:val="Heading3"/>
      </w:pPr>
      <w:r>
        <w:rPr>
          <w:color w:val="1F3B63"/>
        </w:rPr>
        <w:t>7. Rol del DPD y tratamiento por encargados</w:t>
      </w:r>
    </w:p>
    <w:p>
      <w:r>
        <w:t xml:space="preserve">El </w:t>
      </w:r>
      <w:r>
        <w:rPr>
          <w:b/>
        </w:rPr>
        <w:t>DPD</w:t>
      </w:r>
      <w:r>
        <w:t xml:space="preserve"> supervisa el cumplimiento de plazos y la calidad de las respuestas, asesora a las unidades, mantiene el Registro de Solicitudes, resuelve casos dudosos, actúa como vínculo con la URCDP y reporta periódicamente a la Dirección.</w:t>
      </w:r>
    </w:p>
    <w:p>
      <w:r>
        <w:t xml:space="preserve">Cuando los datos hayan sido delegados a un </w:t>
      </w:r>
      <w:r>
        <w:rPr>
          <w:b/>
        </w:rPr>
        <w:t>encargado</w:t>
      </w:r>
      <w:r>
        <w:t>, el Banco le solicita la información necesaria dentro del plazo legal y responde al titular en su nombre. El contrato debe prever la obligación del encargado de colaborar en el ejercicio de los derechos ARCO y de informar cualquier solicitud que reciba directamente.</w:t>
      </w:r>
    </w:p>
    <w:p>
      <w:pPr>
        <w:pStyle w:val="Heading3"/>
      </w:pPr>
      <w:r>
        <w:rPr>
          <w:color w:val="1F3B63"/>
        </w:rPr>
        <w:t>8. Control de cambios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Versión</w:t>
            </w:r>
          </w:p>
        </w:tc>
        <w:tc>
          <w:tcPr>
            <w:tcW w:type="dxa" w:w="1930"/>
          </w:tcPr>
          <w:p>
            <w:r>
              <w:rPr>
                <w:b/>
              </w:rPr>
            </w:r>
            <w:r>
              <w:rPr>
                <w:b/>
              </w:rPr>
              <w:t>Fecha</w:t>
            </w:r>
          </w:p>
        </w:tc>
        <w:tc>
          <w:tcPr>
            <w:tcW w:type="dxa" w:w="1930"/>
          </w:tcPr>
          <w:p>
            <w:r>
              <w:rPr>
                <w:b/>
              </w:rPr>
            </w:r>
            <w:r>
              <w:rPr>
                <w:b/>
              </w:rPr>
              <w:t>Cambio</w:t>
            </w:r>
          </w:p>
        </w:tc>
        <w:tc>
          <w:tcPr>
            <w:tcW w:type="dxa" w:w="1930"/>
          </w:tcPr>
          <w:p>
            <w:r>
              <w:rPr>
                <w:b/>
              </w:rPr>
            </w:r>
            <w:r>
              <w:rPr>
                <w:b/>
              </w:rPr>
              <w:t>Elaboró</w:t>
            </w:r>
          </w:p>
        </w:tc>
        <w:tc>
          <w:tcPr>
            <w:tcW w:type="dxa" w:w="1930"/>
          </w:tcPr>
          <w:p>
            <w:r>
              <w:rPr>
                <w:b/>
              </w:rPr>
            </w:r>
            <w:r>
              <w:rPr>
                <w:b/>
              </w:rPr>
              <w:t>Aprobó</w:t>
            </w:r>
          </w:p>
        </w:tc>
      </w:tr>
      <w:tr>
        <w:tc>
          <w:tcPr>
            <w:tcW w:type="dxa" w:w="1930"/>
          </w:tcPr>
          <w:p>
            <w:r/>
            <w:r>
              <w:t>0.1</w:t>
            </w:r>
          </w:p>
        </w:tc>
        <w:tc>
          <w:tcPr>
            <w:tcW w:type="dxa" w:w="1930"/>
          </w:tcPr>
          <w:p>
            <w:r/>
            <w:r>
              <w:t>[COMPLETAR]</w:t>
            </w:r>
          </w:p>
        </w:tc>
        <w:tc>
          <w:tcPr>
            <w:tcW w:type="dxa" w:w="1930"/>
          </w:tcPr>
          <w:p>
            <w:r/>
            <w:r>
              <w:t>Versión inicial (borrador)</w:t>
            </w:r>
          </w:p>
        </w:tc>
        <w:tc>
          <w:tcPr>
            <w:tcW w:type="dxa" w:w="1930"/>
          </w:tcPr>
          <w:p>
            <w:r/>
            <w:r>
              <w:t>DPD</w:t>
            </w:r>
          </w:p>
        </w:tc>
        <w:tc>
          <w:tcPr>
            <w:tcW w:type="dxa" w:w="1930"/>
          </w:tcPr>
          <w:p>
            <w:r/>
            <w:r>
              <w:t>—</w:t>
            </w:r>
          </w:p>
        </w:tc>
      </w:tr>
      <w:tr>
        <w:tc>
          <w:tcPr>
            <w:tcW w:type="dxa" w:w="1930"/>
          </w:tcPr>
          <w:p>
            <w:r/>
            <w:r>
              <w:t>1.0</w:t>
            </w:r>
          </w:p>
        </w:tc>
        <w:tc>
          <w:tcPr>
            <w:tcW w:type="dxa" w:w="1930"/>
          </w:tcPr>
          <w:p>
            <w:r/>
            <w:r>
              <w:t>[COMPLETAR]</w:t>
            </w:r>
          </w:p>
        </w:tc>
        <w:tc>
          <w:tcPr>
            <w:tcW w:type="dxa" w:w="1930"/>
          </w:tcPr>
          <w:p>
            <w:r/>
            <w:r>
              <w:t>Aprobación de la Dirección</w:t>
            </w:r>
          </w:p>
        </w:tc>
        <w:tc>
          <w:tcPr>
            <w:tcW w:type="dxa" w:w="1930"/>
          </w:tcPr>
          <w:p>
            <w:r/>
            <w:r>
              <w:t>DPD</w:t>
            </w:r>
          </w:p>
        </w:tc>
        <w:tc>
          <w:tcPr>
            <w:tcW w:type="dxa" w:w="1930"/>
          </w:tcPr>
          <w:p>
            <w:r/>
            <w:r>
              <w:t>Dirección</w:t>
            </w:r>
          </w:p>
        </w:tc>
      </w:tr>
    </w:tbl>
    <w:p>
      <w:pPr>
        <w:pStyle w:val="Heading2"/>
      </w:pPr>
      <w:r>
        <w:rPr>
          <w:color w:val="1F3B63"/>
        </w:rPr>
        <w:t>5. Ejemplo aplicado al Banco (modelo de referencia)</w:t>
      </w:r>
    </w:p>
    <w:p>
      <w:r>
        <w:t>Ejemplo ilustrativo de cómo quedaría completado. Adaptalo al estado real del banco.</w:t>
      </w:r>
    </w:p>
    <w:p>
      <w:r>
        <w:rPr>
          <w:b/>
        </w:rPr>
        <w:t>Caso A — Acceso:</w:t>
      </w:r>
      <w:r>
        <w:t xml:space="preserve"> el 01/07/2026 la titular M.R.L. (cédula 4.123.456-7) solicitó vía correo al DPD acceso a todos sus datos personales relacionados con su crédito hipotecario N.º 123456. El Banco verificó identidad, registró la solicitud con fecha 01/07/2026 y la derivó a la División Crédito. El 15/07/2026 (dentro de los 20 días hábiles) se respondió adjuntando el informe con sus datos —nombre, cédula, domicilio, situación del préstamo, saldo y datos de contacto de la sucursal de gestión—, indicándose el derecho a rectificar y la vía de reclamo ante la URCDP.</w:t>
      </w:r>
    </w:p>
    <w:p>
      <w:r>
        <w:rPr>
          <w:b/>
        </w:rPr>
        <w:t>Caso B — Rectificación:</w:t>
      </w:r>
      <w:r>
        <w:t xml:space="preserve"> el 10/08/2026 el titular J.P.S. (cédula 2.987.654-3) solicitó la rectificación de su número de teléfono celular registrado en la base de ahorro y de su correo electrónico de Banco En Línea. Adjuntó cédula y comprobante. La solicitud se registró y se procesó el 13/08/2026 (dentro de los 5 días hábiles), confirmándose al titular la actualización de ambos datos con constancia del cambio.</w:t>
      </w:r>
    </w:p>
    <w:p>
      <w:r>
        <w:rPr>
          <w:b/>
        </w:rPr>
        <w:t>Caso C — Supresión (videovigilancia):</w:t>
      </w:r>
      <w:r>
        <w:t xml:space="preserve"> un cliente solicitó la supresión de sus imágenes captadas en videovigilancia de una sucursal. El Banco respondió dentro del plazo indicando que las imágenes cumplen una finalidad de seguridad admitida y que el plazo de conservación máximo es de [COMPLETAR: plazo], luego del cual se eliminan de forma segura, pudiendo el titular ejercer oposición y acudir a la URCDP.</w:t>
      </w:r>
    </w:p>
    <w:p>
      <w:r>
        <w:rPr>
          <w:b/>
        </w:rPr>
        <w:t>Anexos y registros asociados:</w:t>
      </w:r>
      <w:r>
        <w:t xml:space="preserve"> Anexo 1 (Formulario de solicitud ARCO), Anexo 2 (Modelo de respuesta), Anexo 3 (Registro de Solicitudes ARCO). </w:t>
      </w:r>
      <w:r>
        <w:rPr>
          <w:b/>
        </w:rPr>
        <w:t>Indicadores:</w:t>
      </w:r>
      <w:r>
        <w:t xml:space="preserve"> % de accesos respondidos en 20 días hábiles (meta 100 %), % de rectificaciones/supresiones resueltas en 5 días hábiles (meta 100 %), % de solicitudes registradas (meta 100 %), n.º de reclamos ante la URCDP por incumplimiento (meta 0).</w:t>
      </w:r>
    </w:p>
    <w:p>
      <w:r>
        <w:rPr>
          <w:b/>
        </w:rPr>
        <w:t>Documentos relacionados:</w:t>
      </w:r>
      <w:r>
        <w:t xml:space="preserve"> URCDP-01 (Documento de Seguridad), URCDP-02 (Notificación de Vulneraciones), URCDP-04 (Inscripción de Bases), URCDP-06 (DPD), ID-01 (Inventario de Activos), MATRIZ-001 (Correspondencia Normativa).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