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URCDP-04 · Procedimiento de Inscripción de Bases de Datos ante la URCDP</w:t>
      </w:r>
    </w:p>
    <w:p>
      <w:pPr>
        <w:ind w:left="432"/>
      </w:pPr>
      <w:r>
        <w:rPr>
          <w:i/>
          <w:color w:val="606060"/>
        </w:rPr>
        <w:t>**Función del MCU 5.0:** Identificar (ID.AM — Inventario de activos)</w:t>
      </w:r>
    </w:p>
    <w:p>
      <w:pPr>
        <w:ind w:left="432"/>
      </w:pPr>
      <w:r>
        <w:rPr>
          <w:i/>
          <w:color w:val="606060"/>
        </w:rPr>
        <w:t>**ISO/IEC 27001:** A.5.9 (Inventario de información) · A.8.12 (Protección de datos)</w:t>
      </w:r>
    </w:p>
    <w:p>
      <w:pPr>
        <w:ind w:left="432"/>
      </w:pPr>
      <w:r>
        <w:rPr>
          <w:i/>
          <w:color w:val="606060"/>
        </w:rPr>
        <w:t>**BCU:** Circular 2227 (gestión del riesgo operativo)</w:t>
      </w:r>
    </w:p>
    <w:p>
      <w:pPr>
        <w:ind w:left="432"/>
      </w:pPr>
      <w:r>
        <w:rPr>
          <w:i/>
          <w:color w:val="606060"/>
        </w:rPr>
        <w:t>**URCDP:** **Ley 18.331 art. 22** (inscripción de bases de datos) · **Decreto 414/009** (reglamentación de la inscripción) · Ley 19.670 (responsabilidad proactiva)</w:t>
      </w:r>
    </w:p>
    <w:p>
      <w:pPr>
        <w:ind w:left="432"/>
      </w:pPr>
      <w:r>
        <w:rPr>
          <w:i/>
          <w:color w:val="606060"/>
        </w:rPr>
        <w:t>**Nivel del curso:** 🟢 Descubrir · 🟡 Practicar</w:t>
      </w:r>
    </w:p>
    <w:p>
      <w:pPr>
        <w:pStyle w:val="Heading2"/>
      </w:pPr>
      <w:r>
        <w:rPr>
          <w:color w:val="1F3B63"/>
        </w:rPr>
        <w:t>1. Qué es y por qué existe</w:t>
      </w:r>
    </w:p>
    <w:p>
      <w:r>
        <w:t xml:space="preserve">La </w:t>
      </w:r>
      <w:r>
        <w:rPr>
          <w:b/>
        </w:rPr>
        <w:t>inscripción de las bases de datos ante la URCDP</w:t>
      </w:r>
      <w:r>
        <w:t xml:space="preserve"> es una obligación formal del </w:t>
      </w:r>
      <w:r>
        <w:rPr>
          <w:b/>
        </w:rPr>
        <w:t>art. 22 de la Ley 18.331</w:t>
      </w:r>
      <w:r>
        <w:t xml:space="preserve">: el responsable de toda base de datos de datos personales debe inscribirla en el registro correspondiente, con la información que exige la normativa (identificación del responsable, finalidad, categorías de datos, medidas de seguridad y demás datos del registro). El </w:t>
      </w:r>
      <w:r>
        <w:rPr>
          <w:b/>
        </w:rPr>
        <w:t>Decreto 414/009</w:t>
      </w:r>
      <w:r>
        <w:t xml:space="preserve"> reglamenta el procedimiento y el contenido de la inscripción.</w:t>
      </w:r>
    </w:p>
    <w:p>
      <w:r>
        <w:t xml:space="preserve">El Banco, como organismo público que trata datos de cientos de miles de personas (clientes de crédito, ahorristas, usuarios de Banco En Línea, funcionarios, videovigilancia), debe tener </w:t>
      </w:r>
      <w:r>
        <w:rPr>
          <w:b/>
        </w:rPr>
        <w:t>todas sus bases inscriptas y actualizadas</w:t>
      </w:r>
      <w:r>
        <w:t>. La inscripción no es un trámite de una sola vez: hay que actualizarla ante cambios de responsable, finalidad, categorías de datos o medidas de seguridad, y darla de baja cuando deja de existir.</w:t>
      </w:r>
    </w:p>
    <w:p>
      <w:r>
        <w:t xml:space="preserve">El registro de inscripciones es la evidencia pública y administrativa de los tratamientos del Banco. Su control lo lleva el </w:t>
      </w:r>
      <w:r>
        <w:rPr>
          <w:b/>
        </w:rPr>
        <w:t>DPD</w:t>
      </w:r>
      <w:r>
        <w:t>, que verifica que cada base del inventario de URCDP-01 tenga su inscripción vigente, con datos coincidentes, y que las nuevas bases se inscriban antes de comenzar a operar o dentro del plazo establecido. La falta de inscripción es una infracción a la normativa de protección de datos.</w:t>
      </w:r>
    </w:p>
    <w:p>
      <w:pPr>
        <w:pStyle w:val="Heading2"/>
      </w:pPr>
      <w:r>
        <w:rPr>
          <w:color w:val="1F3B63"/>
        </w:rPr>
        <w:t>2. Marco de referencia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Marco</w:t>
            </w:r>
          </w:p>
        </w:tc>
        <w:tc>
          <w:tcPr>
            <w:tcW w:type="dxa" w:w="3216"/>
          </w:tcPr>
          <w:p>
            <w:r>
              <w:rPr>
                <w:b/>
              </w:rPr>
            </w:r>
            <w:r>
              <w:rPr>
                <w:b/>
              </w:rPr>
              <w:t>Referencia</w:t>
            </w:r>
          </w:p>
        </w:tc>
        <w:tc>
          <w:tcPr>
            <w:tcW w:type="dxa" w:w="3216"/>
          </w:tcPr>
          <w:p>
            <w:r>
              <w:rPr>
                <w:b/>
              </w:rPr>
            </w:r>
            <w:r>
              <w:rPr>
                <w:b/>
              </w:rPr>
              <w:t>Qué exige</w:t>
            </w:r>
          </w:p>
        </w:tc>
      </w:tr>
      <w:tr>
        <w:tc>
          <w:tcPr>
            <w:tcW w:type="dxa" w:w="3216"/>
          </w:tcPr>
          <w:p>
            <w:r/>
            <w:r>
              <w:rPr>
                <w:b/>
              </w:rPr>
              <w:t>MCU 5.0 (Agesic)</w:t>
            </w:r>
          </w:p>
        </w:tc>
        <w:tc>
          <w:tcPr>
            <w:tcW w:type="dxa" w:w="3216"/>
          </w:tcPr>
          <w:p>
            <w:r/>
            <w:r>
              <w:t>ID.AM</w:t>
            </w:r>
          </w:p>
        </w:tc>
        <w:tc>
          <w:tcPr>
            <w:tcW w:type="dxa" w:w="3216"/>
          </w:tcPr>
          <w:p>
            <w:r/>
            <w:r>
              <w:t>Inventariar los activos de información y datos para gestionarlos</w:t>
            </w:r>
          </w:p>
        </w:tc>
      </w:tr>
      <w:tr>
        <w:tc>
          <w:tcPr>
            <w:tcW w:type="dxa" w:w="3216"/>
          </w:tcPr>
          <w:p>
            <w:r/>
            <w:r>
              <w:rPr>
                <w:b/>
              </w:rPr>
              <w:t>ISO/IEC 27001</w:t>
            </w:r>
          </w:p>
        </w:tc>
        <w:tc>
          <w:tcPr>
            <w:tcW w:type="dxa" w:w="3216"/>
          </w:tcPr>
          <w:p>
            <w:r/>
            <w:r>
              <w:t>A.5.9 · A.8.12</w:t>
            </w:r>
          </w:p>
        </w:tc>
        <w:tc>
          <w:tcPr>
            <w:tcW w:type="dxa" w:w="3216"/>
          </w:tcPr>
          <w:p>
            <w:r/>
            <w:r>
              <w:t>Mantener inventario de información y proteger los datos personales</w:t>
            </w:r>
          </w:p>
        </w:tc>
      </w:tr>
      <w:tr>
        <w:tc>
          <w:tcPr>
            <w:tcW w:type="dxa" w:w="3216"/>
          </w:tcPr>
          <w:p>
            <w:r/>
            <w:r>
              <w:rPr>
                <w:b/>
              </w:rPr>
              <w:t>BCU</w:t>
            </w:r>
          </w:p>
        </w:tc>
        <w:tc>
          <w:tcPr>
            <w:tcW w:type="dxa" w:w="3216"/>
          </w:tcPr>
          <w:p>
            <w:r/>
            <w:r>
              <w:t>Circular 2227</w:t>
            </w:r>
          </w:p>
        </w:tc>
        <w:tc>
          <w:tcPr>
            <w:tcW w:type="dxa" w:w="3216"/>
          </w:tcPr>
          <w:p>
            <w:r/>
            <w:r>
              <w:t>Tratamiento de datos como riesgo operativo a gestionar</w:t>
            </w:r>
          </w:p>
        </w:tc>
      </w:tr>
      <w:tr>
        <w:tc>
          <w:tcPr>
            <w:tcW w:type="dxa" w:w="3216"/>
          </w:tcPr>
          <w:p>
            <w:r/>
            <w:r>
              <w:rPr>
                <w:b/>
              </w:rPr>
              <w:t>URCDP</w:t>
            </w:r>
          </w:p>
        </w:tc>
        <w:tc>
          <w:tcPr>
            <w:tcW w:type="dxa" w:w="3216"/>
          </w:tcPr>
          <w:p>
            <w:r/>
            <w:r>
              <w:rPr>
                <w:b/>
              </w:rPr>
              <w:t>Ley 18.331 art. 22</w:t>
            </w:r>
            <w:r>
              <w:t xml:space="preserve"> · </w:t>
            </w:r>
            <w:r>
              <w:rPr>
                <w:b/>
              </w:rPr>
              <w:t>Decreto 414/009</w:t>
            </w:r>
            <w:r>
              <w:t xml:space="preserve"> · Ley 19.670</w:t>
            </w:r>
          </w:p>
        </w:tc>
        <w:tc>
          <w:tcPr>
            <w:tcW w:type="dxa" w:w="3216"/>
          </w:tcPr>
          <w:p>
            <w:r/>
            <w:r>
              <w:t>Inscribir las bases de datos y actualizar las inscripciones; registro ante la URCDP</w:t>
            </w:r>
          </w:p>
        </w:tc>
      </w:tr>
    </w:tbl>
    <w:p>
      <w:pPr>
        <w:pStyle w:val="Heading2"/>
      </w:pPr>
      <w:r>
        <w:rPr>
          <w:color w:val="1F3B63"/>
        </w:rPr>
        <w:t>3. Cómo completar esta plantilla (guía de llenado)</w:t>
      </w:r>
    </w:p>
    <w:p>
      <w:pPr>
        <w:pStyle w:val="ListNumber"/>
      </w:pPr>
      <w:r>
        <w:rPr>
          <w:b/>
        </w:rPr>
        <w:t>Completá el encabezado</w:t>
      </w:r>
      <w:r>
        <w:t xml:space="preserve"> con los datos del documento.</w:t>
      </w:r>
    </w:p>
    <w:p>
      <w:pPr>
        <w:pStyle w:val="ListNumber"/>
      </w:pPr>
      <w:r>
        <w:rPr>
          <w:b/>
        </w:rPr>
        <w:t>Tomá el inventario de bases de URCDP-01</w:t>
      </w:r>
      <w:r>
        <w:t xml:space="preserve"> y cruzalo con las inscripciones vigentes en la URCDP: la diferencia son las bases sin inscribir.</w:t>
      </w:r>
    </w:p>
    <w:p>
      <w:pPr>
        <w:pStyle w:val="ListNumber"/>
      </w:pPr>
      <w:r>
        <w:rPr>
          <w:b/>
        </w:rPr>
        <w:t>Definí qué bases hay que inscribir</w:t>
      </w:r>
      <w:r>
        <w:t xml:space="preserve"> (verificación, no determinación): toda base con datos personales.</w:t>
      </w:r>
    </w:p>
    <w:p>
      <w:pPr>
        <w:pStyle w:val="ListNumber"/>
      </w:pPr>
      <w:r>
        <w:rPr>
          <w:b/>
        </w:rPr>
        <w:t>Prepará los datos requeridos</w:t>
      </w:r>
      <w:r>
        <w:t xml:space="preserve"> por el formulario de la URCDP para cada base (identificación del responsable, finalidad, categorías de datos, medidas de seguridad, plazos de conservación, transferencias).</w:t>
      </w:r>
    </w:p>
    <w:p>
      <w:pPr>
        <w:pStyle w:val="ListNumber"/>
      </w:pPr>
      <w:r>
        <w:rPr>
          <w:b/>
        </w:rPr>
        <w:t>Definí el flujo de presentación</w:t>
      </w:r>
      <w:r>
        <w:t xml:space="preserve"> en el sistema en línea de la URCDP y los responsables de cada dato.</w:t>
      </w:r>
    </w:p>
    <w:p>
      <w:pPr>
        <w:pStyle w:val="ListNumber"/>
      </w:pPr>
      <w:r>
        <w:rPr>
          <w:b/>
        </w:rPr>
        <w:t>Establecé el mecanismo de actualización</w:t>
      </w:r>
      <w:r>
        <w:t xml:space="preserve"> ante cambios y de verificación periódica (anual).</w:t>
      </w:r>
    </w:p>
    <w:p>
      <w:pPr>
        <w:pStyle w:val="ListNumber"/>
      </w:pPr>
      <w:r>
        <w:rPr>
          <w:b/>
        </w:rPr>
        <w:t>Asigná al DPD la responsabilidad</w:t>
      </w:r>
      <w:r>
        <w:t xml:space="preserve"> de mantener el registro de inscripciones al día.</w:t>
      </w:r>
    </w:p>
    <w:p>
      <w:r>
        <w:rPr>
          <w:b/>
        </w:rPr>
        <w:t>A quién consultar en el Banco:</w:t>
      </w:r>
      <w:r>
        <w:t xml:space="preserve"> DPD (responsable del trámite y del registro); RSI (medidas de seguridad a declarar); Gerente de División TI (datos técnicos de las bases); División Capital Humano (base de funcionarios); Departamento de Servicios Generales (videovigilancia); División Servicios Jurídicos Notariales (revisión del contenido).</w:t>
      </w:r>
    </w:p>
    <w:p>
      <w:pPr>
        <w:pStyle w:val="Heading2"/>
      </w:pPr>
      <w:r>
        <w:rPr>
          <w:color w:val="1F3B63"/>
        </w:rPr>
        <w:t>4. Plantilla del documento</w:t>
      </w:r>
    </w:p>
    <w:p>
      <w:pPr>
        <w:pStyle w:val="Heading3"/>
      </w:pPr>
      <w:r>
        <w:rPr>
          <w:color w:val="1F3B63"/>
        </w:rPr>
        <w:t>ENCABEZADO</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Campo</w:t>
            </w:r>
          </w:p>
        </w:tc>
        <w:tc>
          <w:tcPr>
            <w:tcW w:type="dxa" w:w="4824"/>
          </w:tcPr>
          <w:p>
            <w:r>
              <w:rPr>
                <w:b/>
              </w:rPr>
            </w:r>
            <w:r>
              <w:rPr>
                <w:b/>
              </w:rPr>
              <w:t>Valor</w:t>
            </w:r>
          </w:p>
        </w:tc>
      </w:tr>
      <w:tr>
        <w:tc>
          <w:tcPr>
            <w:tcW w:type="dxa" w:w="4824"/>
          </w:tcPr>
          <w:p>
            <w:r/>
            <w:r>
              <w:rPr>
                <w:b/>
              </w:rPr>
              <w:t>Código</w:t>
            </w:r>
          </w:p>
        </w:tc>
        <w:tc>
          <w:tcPr>
            <w:tcW w:type="dxa" w:w="4824"/>
          </w:tcPr>
          <w:p>
            <w:r/>
            <w:r>
              <w:t>URCDP-04</w:t>
            </w:r>
          </w:p>
        </w:tc>
      </w:tr>
      <w:tr>
        <w:tc>
          <w:tcPr>
            <w:tcW w:type="dxa" w:w="4824"/>
          </w:tcPr>
          <w:p>
            <w:r/>
            <w:r>
              <w:rPr>
                <w:b/>
              </w:rPr>
              <w:t>Título</w:t>
            </w:r>
          </w:p>
        </w:tc>
        <w:tc>
          <w:tcPr>
            <w:tcW w:type="dxa" w:w="4824"/>
          </w:tcPr>
          <w:p>
            <w:r/>
            <w:r>
              <w:t>Procedimiento de Inscripción de Bases de Datos ante la URCDP</w:t>
            </w:r>
          </w:p>
        </w:tc>
      </w:tr>
      <w:tr>
        <w:tc>
          <w:tcPr>
            <w:tcW w:type="dxa" w:w="4824"/>
          </w:tcPr>
          <w:p>
            <w:r/>
            <w:r>
              <w:rPr>
                <w:b/>
              </w:rPr>
              <w:t>Versión</w:t>
            </w:r>
          </w:p>
        </w:tc>
        <w:tc>
          <w:tcPr>
            <w:tcW w:type="dxa" w:w="4824"/>
          </w:tcPr>
          <w:p>
            <w:r/>
            <w:r>
              <w:t>1.0</w:t>
            </w:r>
          </w:p>
        </w:tc>
      </w:tr>
      <w:tr>
        <w:tc>
          <w:tcPr>
            <w:tcW w:type="dxa" w:w="4824"/>
          </w:tcPr>
          <w:p>
            <w:r/>
            <w:r>
              <w:rPr>
                <w:b/>
              </w:rPr>
              <w:t>Estado</w:t>
            </w:r>
          </w:p>
        </w:tc>
        <w:tc>
          <w:tcPr>
            <w:tcW w:type="dxa" w:w="4824"/>
          </w:tcPr>
          <w:p>
            <w:r/>
            <w:r>
              <w:t>[Borrador / En revisión / Aprobado]</w:t>
            </w:r>
          </w:p>
        </w:tc>
      </w:tr>
      <w:tr>
        <w:tc>
          <w:tcPr>
            <w:tcW w:type="dxa" w:w="4824"/>
          </w:tcPr>
          <w:p>
            <w:r/>
            <w:r>
              <w:rPr>
                <w:b/>
              </w:rPr>
              <w:t>Fecha de aprobación</w:t>
            </w:r>
          </w:p>
        </w:tc>
        <w:tc>
          <w:tcPr>
            <w:tcW w:type="dxa" w:w="4824"/>
          </w:tcPr>
          <w:p>
            <w:r/>
            <w:r>
              <w:t>[COMPLETAR]</w:t>
            </w:r>
          </w:p>
        </w:tc>
      </w:tr>
      <w:tr>
        <w:tc>
          <w:tcPr>
            <w:tcW w:type="dxa" w:w="4824"/>
          </w:tcPr>
          <w:p>
            <w:r/>
            <w:r>
              <w:rPr>
                <w:b/>
              </w:rPr>
              <w:t>Elaborado por</w:t>
            </w:r>
          </w:p>
        </w:tc>
        <w:tc>
          <w:tcPr>
            <w:tcW w:type="dxa" w:w="4824"/>
          </w:tcPr>
          <w:p>
            <w:r/>
            <w:r>
              <w:t>DPD</w:t>
            </w:r>
          </w:p>
        </w:tc>
      </w:tr>
      <w:tr>
        <w:tc>
          <w:tcPr>
            <w:tcW w:type="dxa" w:w="4824"/>
          </w:tcPr>
          <w:p>
            <w:r/>
            <w:r>
              <w:rPr>
                <w:b/>
              </w:rPr>
              <w:t>Revisado por</w:t>
            </w:r>
          </w:p>
        </w:tc>
        <w:tc>
          <w:tcPr>
            <w:tcW w:type="dxa" w:w="4824"/>
          </w:tcPr>
          <w:p>
            <w:r/>
            <w:r>
              <w:t>RSI / Comité de Seguridad de la Información</w:t>
            </w:r>
          </w:p>
        </w:tc>
      </w:tr>
      <w:tr>
        <w:tc>
          <w:tcPr>
            <w:tcW w:type="dxa" w:w="4824"/>
          </w:tcPr>
          <w:p>
            <w:r/>
            <w:r>
              <w:rPr>
                <w:b/>
              </w:rPr>
              <w:t>Aprobado por</w:t>
            </w:r>
          </w:p>
        </w:tc>
        <w:tc>
          <w:tcPr>
            <w:tcW w:type="dxa" w:w="4824"/>
          </w:tcPr>
          <w:p>
            <w:r/>
            <w:r>
              <w:t>Gerencia General</w:t>
            </w:r>
          </w:p>
        </w:tc>
      </w:tr>
      <w:tr>
        <w:tc>
          <w:tcPr>
            <w:tcW w:type="dxa" w:w="4824"/>
          </w:tcPr>
          <w:p>
            <w:r/>
            <w:r>
              <w:rPr>
                <w:b/>
              </w:rPr>
              <w:t>Clasificación</w:t>
            </w:r>
          </w:p>
        </w:tc>
        <w:tc>
          <w:tcPr>
            <w:tcW w:type="dxa" w:w="4824"/>
          </w:tcPr>
          <w:p>
            <w:r/>
            <w:r>
              <w:t>Uso interno</w:t>
            </w:r>
          </w:p>
        </w:tc>
      </w:tr>
      <w:tr>
        <w:tc>
          <w:tcPr>
            <w:tcW w:type="dxa" w:w="4824"/>
          </w:tcPr>
          <w:p>
            <w:r/>
            <w:r>
              <w:rPr>
                <w:b/>
              </w:rPr>
              <w:t>Próxima revisión</w:t>
            </w:r>
          </w:p>
        </w:tc>
        <w:tc>
          <w:tcPr>
            <w:tcW w:type="dxa" w:w="4824"/>
          </w:tcPr>
          <w:p>
            <w:r/>
            <w:r>
              <w:t>[Fecha, máx. 1 año]</w:t>
            </w:r>
          </w:p>
        </w:tc>
      </w:tr>
    </w:tbl>
    <w:p>
      <w:pPr>
        <w:pStyle w:val="Heading3"/>
      </w:pPr>
      <w:r>
        <w:rPr>
          <w:color w:val="1F3B63"/>
        </w:rPr>
        <w:t>1. Objetivo</w:t>
      </w:r>
    </w:p>
    <w:p>
      <w:r>
        <w:t>Establecer el procedimiento para inscribir y mantener actualizadas ante la URCDP las bases de datos de datos personales del Banco, conforme al art. 22 de la Ley 18.331 y al Decreto 414/009.</w:t>
      </w:r>
    </w:p>
    <w:p>
      <w:pPr>
        <w:pStyle w:val="Heading3"/>
      </w:pPr>
      <w:r>
        <w:rPr>
          <w:color w:val="1F3B63"/>
        </w:rPr>
        <w:t>2. Alcance</w:t>
      </w:r>
    </w:p>
    <w:p>
      <w:r>
        <w:t>Aplica a [COMPLETAR: todas las bases de datos de datos personales del Banco, existentes o nuevas, en soporte digital o físico, incluidas las de videovigilancia y las gestionadas por encargados en nombre del Banco].</w:t>
      </w:r>
    </w:p>
    <w:p>
      <w:pPr>
        <w:pStyle w:val="Heading3"/>
      </w:pPr>
      <w:r>
        <w:rPr>
          <w:color w:val="1F3B63"/>
        </w:rPr>
        <w:t>3. Bases de datos a inscribir</w:t>
      </w:r>
    </w:p>
    <w:p>
      <w:r>
        <w:t>Debe inscribirse toda base que contenga datos personales. Identificativo para el Banco: [COMPLETAR: clientes de crédito, ahorro y depósitos, usuarios de Banco En Línea, funcionarios, videovigilancia, archivos históricos y otras bases]. No quedan excluidas por su tamaño, formato o antigüedad.</w:t>
      </w:r>
    </w:p>
    <w:p>
      <w:pPr>
        <w:pStyle w:val="Heading3"/>
      </w:pPr>
      <w:r>
        <w:rPr>
          <w:color w:val="1F3B63"/>
        </w:rPr>
        <w:t>4. Datos requeridos en la inscripción</w:t>
      </w:r>
    </w:p>
    <w:p>
      <w:r>
        <w:t xml:space="preserve">a) </w:t>
      </w:r>
      <w:r>
        <w:rPr>
          <w:b/>
        </w:rPr>
        <w:t>Identificación del responsable:</w:t>
      </w:r>
      <w:r>
        <w:t xml:space="preserve"> Banco, domicilio, representante y DPD de contacto.</w:t>
      </w:r>
    </w:p>
    <w:p>
      <w:r>
        <w:t xml:space="preserve">b) </w:t>
      </w:r>
      <w:r>
        <w:rPr>
          <w:b/>
        </w:rPr>
        <w:t>Finalidad del tratamiento</w:t>
      </w:r>
      <w:r>
        <w:t xml:space="preserve"> y su descripción.</w:t>
      </w:r>
    </w:p>
    <w:p>
      <w:r>
        <w:t xml:space="preserve">c) </w:t>
      </w:r>
      <w:r>
        <w:rPr>
          <w:b/>
        </w:rPr>
        <w:t>Categorías de datos</w:t>
      </w:r>
      <w:r>
        <w:t xml:space="preserve"> personales tratados (identificatorios, económicos, financieros, de salud, biométricos, etc.).</w:t>
      </w:r>
    </w:p>
    <w:p>
      <w:r>
        <w:t xml:space="preserve">d) </w:t>
      </w:r>
      <w:r>
        <w:rPr>
          <w:b/>
        </w:rPr>
        <w:t>Categorías de titulares</w:t>
      </w:r>
      <w:r>
        <w:t xml:space="preserve"> (clientes, funcionarios, visitantes, etc.).</w:t>
      </w:r>
    </w:p>
    <w:p>
      <w:r>
        <w:t xml:space="preserve">e) </w:t>
      </w:r>
      <w:r>
        <w:rPr>
          <w:b/>
        </w:rPr>
        <w:t>Medidas de seguridad</w:t>
      </w:r>
      <w:r>
        <w:t xml:space="preserve"> aplicadas (físicas, lógicas y organizativas).</w:t>
      </w:r>
    </w:p>
    <w:p>
      <w:r>
        <w:t xml:space="preserve">f) </w:t>
      </w:r>
      <w:r>
        <w:rPr>
          <w:b/>
        </w:rPr>
        <w:t>Plazos de conservación</w:t>
      </w:r>
      <w:r>
        <w:t xml:space="preserve"> y destino de los datos al finalizar.</w:t>
      </w:r>
    </w:p>
    <w:p>
      <w:r>
        <w:t xml:space="preserve">g) </w:t>
      </w:r>
      <w:r>
        <w:rPr>
          <w:b/>
        </w:rPr>
        <w:t>Transferencias internacionales</w:t>
      </w:r>
      <w:r>
        <w:t xml:space="preserve"> si las hubiera.</w:t>
      </w:r>
    </w:p>
    <w:p>
      <w:r>
        <w:t xml:space="preserve">h) </w:t>
      </w:r>
      <w:r>
        <w:rPr>
          <w:b/>
        </w:rPr>
        <w:t>Encargados de tratamiento</w:t>
      </w:r>
      <w:r>
        <w:t xml:space="preserve"> si correspondiera.</w:t>
      </w:r>
    </w:p>
    <w:p>
      <w:pPr>
        <w:pStyle w:val="Heading3"/>
      </w:pPr>
      <w:r>
        <w:rPr>
          <w:color w:val="1F3B63"/>
        </w:rPr>
        <w:t>5. Sistema en línea de la URCDP</w:t>
      </w:r>
    </w:p>
    <w:p>
      <w:r>
        <w:t xml:space="preserve">La inscripción se presenta a través del </w:t>
      </w:r>
      <w:r>
        <w:rPr>
          <w:b/>
        </w:rPr>
        <w:t>sistema de gestión en línea de la URCDP</w:t>
      </w:r>
      <w:r>
        <w:t xml:space="preserve"> habilitado para las personas jurídicas [COMPLETAR: referencias de acceso y de soporte técnico de la URCDP]. El DPD custodia las credenciales de acceso y administra los formularios y los comprobantes de presentación.</w:t>
      </w:r>
    </w:p>
    <w:p>
      <w:pPr>
        <w:pStyle w:val="Heading3"/>
      </w:pPr>
      <w:r>
        <w:rPr>
          <w:color w:val="1F3B63"/>
        </w:rPr>
        <w:t>6. Procedimiento de inscripción</w:t>
      </w:r>
    </w:p>
    <w:p>
      <w:r>
        <w:t xml:space="preserve">a) </w:t>
      </w:r>
      <w:r>
        <w:rPr>
          <w:b/>
        </w:rPr>
        <w:t>Identificación:</w:t>
      </w:r>
      <w:r>
        <w:t xml:space="preserve"> el DPD identifica las bases nuevas o modificadas a partir del inventario de URCDP-01.</w:t>
      </w:r>
    </w:p>
    <w:p>
      <w:r>
        <w:t xml:space="preserve">b) </w:t>
      </w:r>
      <w:r>
        <w:rPr>
          <w:b/>
        </w:rPr>
        <w:t>Recopilación:</w:t>
      </w:r>
      <w:r>
        <w:t xml:space="preserve"> se completan los datos del formulario con la información de la ficha de base (URCDP-01).</w:t>
      </w:r>
    </w:p>
    <w:p>
      <w:r>
        <w:t xml:space="preserve">c) </w:t>
      </w:r>
      <w:r>
        <w:rPr>
          <w:b/>
        </w:rPr>
        <w:t>Revisión:</w:t>
      </w:r>
      <w:r>
        <w:t xml:space="preserve"> el RSI valida las medidas de seguridad declaradas; Servicios Jurídicos Notariales valida el contenido cuando corresponda.</w:t>
      </w:r>
    </w:p>
    <w:p>
      <w:r>
        <w:t xml:space="preserve">d) </w:t>
      </w:r>
      <w:r>
        <w:rPr>
          <w:b/>
        </w:rPr>
        <w:t>Presentación:</w:t>
      </w:r>
      <w:r>
        <w:t xml:space="preserve"> el DPD presenta la inscripción o actualización en el sistema de la URCDP.</w:t>
      </w:r>
    </w:p>
    <w:p>
      <w:r>
        <w:t xml:space="preserve">e) </w:t>
      </w:r>
      <w:r>
        <w:rPr>
          <w:b/>
        </w:rPr>
        <w:t>Registro interno:</w:t>
      </w:r>
      <w:r>
        <w:t xml:space="preserve"> se archiva el comprobante de la URCDP y se actualiza el registro de inscripciones del Banco.</w:t>
      </w:r>
    </w:p>
    <w:p>
      <w:r>
        <w:t xml:space="preserve">f) </w:t>
      </w:r>
      <w:r>
        <w:rPr>
          <w:b/>
        </w:rPr>
        <w:t>Verificación:</w:t>
      </w:r>
      <w:r>
        <w:t xml:space="preserve"> revisión anual del estado de todas las inscripciones frente al inventario.</w:t>
      </w:r>
    </w:p>
    <w:p>
      <w:pPr>
        <w:pStyle w:val="Heading3"/>
      </w:pPr>
      <w:r>
        <w:rPr>
          <w:color w:val="1F3B63"/>
        </w:rPr>
        <w:t>7. Actualización de inscripciones</w:t>
      </w:r>
    </w:p>
    <w:p>
      <w:r>
        <w:t>Se actualiza la inscripción cuando cambie: el responsable o sus datos, la finalidad, las categorías de datos, las medidas de seguridad, los plazos de conservación, los encargados o las transferencias internacionales. Cuando una base deja de existir, se solicita la baja de la inscripción.</w:t>
      </w:r>
    </w:p>
    <w:p>
      <w:pPr>
        <w:pStyle w:val="Heading3"/>
      </w:pPr>
      <w:r>
        <w:rPr>
          <w:color w:val="1F3B63"/>
        </w:rPr>
        <w:t>8. Responsabilidades</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Rol</w:t>
            </w:r>
          </w:p>
        </w:tc>
        <w:tc>
          <w:tcPr>
            <w:tcW w:type="dxa" w:w="4824"/>
          </w:tcPr>
          <w:p>
            <w:r>
              <w:rPr>
                <w:b/>
              </w:rPr>
            </w:r>
            <w:r>
              <w:rPr>
                <w:b/>
              </w:rPr>
              <w:t>Responsabilidad</w:t>
            </w:r>
          </w:p>
        </w:tc>
      </w:tr>
      <w:tr>
        <w:tc>
          <w:tcPr>
            <w:tcW w:type="dxa" w:w="4824"/>
          </w:tcPr>
          <w:p>
            <w:r/>
            <w:r>
              <w:rPr>
                <w:b/>
              </w:rPr>
              <w:t>DPD</w:t>
            </w:r>
          </w:p>
        </w:tc>
        <w:tc>
          <w:tcPr>
            <w:tcW w:type="dxa" w:w="4824"/>
          </w:tcPr>
          <w:p>
            <w:r/>
            <w:r>
              <w:t>Liderar el trámite, mantener el registro de inscripciones y la verificación anual</w:t>
            </w:r>
          </w:p>
        </w:tc>
      </w:tr>
      <w:tr>
        <w:tc>
          <w:tcPr>
            <w:tcW w:type="dxa" w:w="4824"/>
          </w:tcPr>
          <w:p>
            <w:r/>
            <w:r>
              <w:rPr>
                <w:b/>
              </w:rPr>
              <w:t>RSI</w:t>
            </w:r>
          </w:p>
        </w:tc>
        <w:tc>
          <w:tcPr>
            <w:tcW w:type="dxa" w:w="4824"/>
          </w:tcPr>
          <w:p>
            <w:r/>
            <w:r>
              <w:t>Validar y declarar las medidas de seguridad</w:t>
            </w:r>
          </w:p>
        </w:tc>
      </w:tr>
      <w:tr>
        <w:tc>
          <w:tcPr>
            <w:tcW w:type="dxa" w:w="4824"/>
          </w:tcPr>
          <w:p>
            <w:r/>
            <w:r>
              <w:rPr>
                <w:b/>
              </w:rPr>
              <w:t>División TI</w:t>
            </w:r>
          </w:p>
        </w:tc>
        <w:tc>
          <w:tcPr>
            <w:tcW w:type="dxa" w:w="4824"/>
          </w:tcPr>
          <w:p>
            <w:r/>
            <w:r>
              <w:t>Proveer la información técnica de las bases</w:t>
            </w:r>
          </w:p>
        </w:tc>
      </w:tr>
      <w:tr>
        <w:tc>
          <w:tcPr>
            <w:tcW w:type="dxa" w:w="4824"/>
          </w:tcPr>
          <w:p>
            <w:r/>
            <w:r>
              <w:rPr>
                <w:b/>
              </w:rPr>
              <w:t>Unidades dueñas de datos</w:t>
            </w:r>
          </w:p>
        </w:tc>
        <w:tc>
          <w:tcPr>
            <w:tcW w:type="dxa" w:w="4824"/>
          </w:tcPr>
          <w:p>
            <w:r/>
            <w:r>
              <w:t>Informar cambios en las bases a través del DPD</w:t>
            </w:r>
          </w:p>
        </w:tc>
      </w:tr>
      <w:tr>
        <w:tc>
          <w:tcPr>
            <w:tcW w:type="dxa" w:w="4824"/>
          </w:tcPr>
          <w:p>
            <w:r/>
            <w:r>
              <w:rPr>
                <w:b/>
              </w:rPr>
              <w:t>Servicios Jurídicos Notariales</w:t>
            </w:r>
          </w:p>
        </w:tc>
        <w:tc>
          <w:tcPr>
            <w:tcW w:type="dxa" w:w="4824"/>
          </w:tcPr>
          <w:p>
            <w:r/>
            <w:r>
              <w:t>Revisión del contenido cuando corresponda</w:t>
            </w:r>
          </w:p>
        </w:tc>
      </w:tr>
    </w:tbl>
    <w:p>
      <w:pPr>
        <w:pStyle w:val="Heading3"/>
      </w:pPr>
      <w:r>
        <w:rPr>
          <w:color w:val="1F3B63"/>
        </w:rPr>
        <w:t>9. Registro de inscripciones del Banco</w:t>
      </w:r>
    </w:p>
    <w:p>
      <w:r>
        <w:t>El DPD mantiene un registro con: nombre de la base, n.º de inscripción en la URCDP, fecha de inscripción, fecha de última actualización, estado y responsable. Este registro se cruza con el inventario de URCDP-01 y con el ROPA.</w:t>
      </w:r>
    </w:p>
    <w:p>
      <w:pPr>
        <w:pStyle w:val="Heading3"/>
      </w:pPr>
      <w:r>
        <w:rPr>
          <w:color w:val="1F3B63"/>
        </w:rPr>
        <w:t>Control de cambios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rPr>
            </w:r>
            <w:r>
              <w:rPr>
                <w:b/>
              </w:rPr>
              <w:t>Versión</w:t>
            </w:r>
          </w:p>
        </w:tc>
        <w:tc>
          <w:tcPr>
            <w:tcW w:type="dxa" w:w="1930"/>
          </w:tcPr>
          <w:p>
            <w:r>
              <w:rPr>
                <w:b/>
              </w:rPr>
            </w:r>
            <w:r>
              <w:rPr>
                <w:b/>
              </w:rPr>
              <w:t>Fecha</w:t>
            </w:r>
          </w:p>
        </w:tc>
        <w:tc>
          <w:tcPr>
            <w:tcW w:type="dxa" w:w="1930"/>
          </w:tcPr>
          <w:p>
            <w:r>
              <w:rPr>
                <w:b/>
              </w:rPr>
            </w:r>
            <w:r>
              <w:rPr>
                <w:b/>
              </w:rPr>
              <w:t>Cambio</w:t>
            </w:r>
          </w:p>
        </w:tc>
        <w:tc>
          <w:tcPr>
            <w:tcW w:type="dxa" w:w="1930"/>
          </w:tcPr>
          <w:p>
            <w:r>
              <w:rPr>
                <w:b/>
              </w:rPr>
            </w:r>
            <w:r>
              <w:rPr>
                <w:b/>
              </w:rPr>
              <w:t>Elaboró</w:t>
            </w:r>
          </w:p>
        </w:tc>
        <w:tc>
          <w:tcPr>
            <w:tcW w:type="dxa" w:w="1930"/>
          </w:tcPr>
          <w:p>
            <w:r>
              <w:rPr>
                <w:b/>
              </w:rPr>
            </w:r>
            <w:r>
              <w:rPr>
                <w:b/>
              </w:rPr>
              <w:t>Aprobó</w:t>
            </w:r>
          </w:p>
        </w:tc>
      </w:tr>
      <w:tr>
        <w:tc>
          <w:tcPr>
            <w:tcW w:type="dxa" w:w="1930"/>
          </w:tcPr>
          <w:p>
            <w:r/>
            <w:r>
              <w:t>0.1</w:t>
            </w:r>
          </w:p>
        </w:tc>
        <w:tc>
          <w:tcPr>
            <w:tcW w:type="dxa" w:w="1930"/>
          </w:tcPr>
          <w:p>
            <w:r/>
            <w:r>
              <w:t>[COMPLETAR]</w:t>
            </w:r>
          </w:p>
        </w:tc>
        <w:tc>
          <w:tcPr>
            <w:tcW w:type="dxa" w:w="1930"/>
          </w:tcPr>
          <w:p>
            <w:r/>
            <w:r>
              <w:t>Versión inicial (borrador)</w:t>
            </w:r>
          </w:p>
        </w:tc>
        <w:tc>
          <w:tcPr>
            <w:tcW w:type="dxa" w:w="1930"/>
          </w:tcPr>
          <w:p>
            <w:r/>
            <w:r>
              <w:t>DPD</w:t>
            </w:r>
          </w:p>
        </w:tc>
        <w:tc>
          <w:tcPr>
            <w:tcW w:type="dxa" w:w="1930"/>
          </w:tcPr>
          <w:p>
            <w:r/>
            <w:r>
              <w:t>—</w:t>
            </w:r>
          </w:p>
        </w:tc>
      </w:tr>
      <w:tr>
        <w:tc>
          <w:tcPr>
            <w:tcW w:type="dxa" w:w="1930"/>
          </w:tcPr>
          <w:p>
            <w:r/>
            <w:r>
              <w:t>1.0</w:t>
            </w:r>
          </w:p>
        </w:tc>
        <w:tc>
          <w:tcPr>
            <w:tcW w:type="dxa" w:w="1930"/>
          </w:tcPr>
          <w:p>
            <w:r/>
            <w:r>
              <w:t>[COMPLETAR]</w:t>
            </w:r>
          </w:p>
        </w:tc>
        <w:tc>
          <w:tcPr>
            <w:tcW w:type="dxa" w:w="1930"/>
          </w:tcPr>
          <w:p>
            <w:r/>
            <w:r>
              <w:t>Aprobación de Gerencia General</w:t>
            </w:r>
          </w:p>
        </w:tc>
        <w:tc>
          <w:tcPr>
            <w:tcW w:type="dxa" w:w="1930"/>
          </w:tcPr>
          <w:p>
            <w:r/>
            <w:r>
              <w:t>DPD</w:t>
            </w:r>
          </w:p>
        </w:tc>
        <w:tc>
          <w:tcPr>
            <w:tcW w:type="dxa" w:w="1930"/>
          </w:tcPr>
          <w:p>
            <w:r/>
            <w:r>
              <w:t>Gerencia General</w:t>
            </w:r>
          </w:p>
        </w:tc>
      </w:tr>
    </w:tbl>
    <w:p>
      <w:pPr>
        <w:pStyle w:val="Heading2"/>
      </w:pPr>
      <w:r>
        <w:rPr>
          <w:color w:val="1F3B63"/>
        </w:rPr>
        <w:t>5. Ejemplo aplicado al Banco (modelo de referencia)</w:t>
      </w:r>
    </w:p>
    <w:p>
      <w:r>
        <w:t>Ejemplo ilustrativo de cómo quedaría completado. Adaptá a la realidad institucional del Banco.</w:t>
      </w:r>
    </w:p>
    <w:p>
      <w:r>
        <w:rPr>
          <w:b/>
        </w:rPr>
        <w:t>Estado de inscripciones (ejemplo):</w:t>
      </w:r>
      <w:r>
        <w:t xml:space="preserve"> el DPD relevó las bases del inventario (crédito hipotecario, ahorro y depósitos, Banco En Línea, funcionarios, videovigilancia de casa central y sucursales) y verificó en el sistema de la URCDP que [N] estaban inscriptas y [M] presentaban datos desactualizados (finalidad o medidas de seguridad). Se presentaron las actualizaciones en [trimestre] y quedó registrada la evidencia.</w:t>
      </w:r>
    </w:p>
    <w:p>
      <w:r>
        <w:rPr>
          <w:b/>
        </w:rPr>
        <w:t>Nueva base (ejemplo):</w:t>
      </w:r>
      <w:r>
        <w:t xml:space="preserve"> al incorporarse un nuevo tratamiento de datos en Banco En Línea (nuevo servicio de consultas), el DPD identificó la necesidad de inscripción, completó el formulario con los datos de la ficha de base de URCDP-01 (finalidad, categorías de datos, medidas de seguridad, plazos), lo revisó con el RSI y lo presentó en el sistema de la URCDP antes de la puesta en producción del servicio.</w:t>
      </w:r>
    </w:p>
    <w:p>
      <w:r>
        <w:rPr>
          <w:b/>
        </w:rPr>
        <w:t>Videovigilancia (ejemplo):</w:t>
      </w:r>
      <w:r>
        <w:t xml:space="preserve"> la base de videovigilancia de las sucursales se inscribió declarando la finalidad de seguridad, la categoría de datos (imágenes), el plazo de conservación de [COMPLETAR] días y las medidas de seguridad (acceso restringido, cifrado y borrado automático), junto con la cartelería aprobada.</w:t>
      </w:r>
    </w:p>
    <w:p>
      <w:r>
        <w:rPr>
          <w:b/>
        </w:rPr>
        <w:t>Documentos relacionados:</w:t>
      </w:r>
      <w:r>
        <w:t xml:space="preserve"> URCDP-01 (Documento de Seguridad / inventario), URCDP-03 (ARCO), URCDP-05 (EIPD), URCDP-06 (DPD), GV-01 (Política), 00-Matriz-Correspondencia-Normativa.</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