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EV-03 · Sistematización de las Evidencias (cómo guardar, nombrar y seguir)</w:t>
      </w:r>
    </w:p>
    <w:p>
      <w:pPr>
        <w:ind w:left="432"/>
      </w:pPr>
      <w:r>
        <w:rPr>
          <w:i/>
          <w:color w:val="606060"/>
        </w:rPr>
        <w:t>**Función del MCU 5.0:** Gobernar (GV.OV) y todas las funciones: la evidencia sistematizada es la prueba del SGSI ante BCU, Agesic, URCDP y auditoría.</w:t>
      </w:r>
    </w:p>
    <w:p>
      <w:pPr>
        <w:ind w:left="432"/>
      </w:pPr>
      <w:r>
        <w:rPr>
          <w:i/>
          <w:color w:val="606060"/>
        </w:rPr>
        <w:t>**ISO/IEC 27001:** Cláusula 7.5 (información documentada).</w:t>
      </w:r>
    </w:p>
    <w:p>
      <w:pPr>
        <w:ind w:left="432"/>
      </w:pPr>
      <w:r>
        <w:rPr>
          <w:i/>
          <w:color w:val="606060"/>
        </w:rPr>
        <w:t>**BCU:** Los EMG y las inspecciones piden evidencia ordenada, fechada y trazable.</w:t>
      </w:r>
    </w:p>
    <w:p>
      <w:pPr>
        <w:ind w:left="432"/>
      </w:pPr>
      <w:r>
        <w:rPr>
          <w:i/>
          <w:color w:val="606060"/>
        </w:rPr>
        <w:t>**URCDP:** Documento de Seguridad y notificaciones requieren evidencia reproducible.</w:t>
      </w:r>
    </w:p>
    <w:p>
      <w:pPr>
        <w:ind w:left="432"/>
      </w:pPr>
      <w:r>
        <w:rPr>
          <w:i/>
          <w:color w:val="606060"/>
        </w:rPr>
        <w:t>**Nivel del curso:** 🔴 Dominar · **Uso:** procedimiento de trabajo del RSI.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El problema que resuelve</w:t>
      </w:r>
    </w:p>
    <w:p>
      <w:r>
        <w:t xml:space="preserve">Sin sistematización, las evidencias se pierden en correos, carpetas personales y capturas sin fecha. Cuando el BCU o la URCDP piden una prueba, el RSI "no la encuentra" o "sabe que existe pero no está documentada". Esto equivale a </w:t>
      </w:r>
      <w:r>
        <w:rPr>
          <w:b/>
        </w:rPr>
        <w:t>no tenerla</w:t>
      </w:r>
      <w:r>
        <w:t>.</w:t>
      </w:r>
    </w:p>
    <w:p>
      <w:r>
        <w:t>La sistematización responde a 4 preguntas:</w:t>
      </w:r>
    </w:p>
    <w:p>
      <w:pPr>
        <w:pStyle w:val="ListNumber"/>
      </w:pPr>
      <w:r>
        <w:rPr>
          <w:b/>
        </w:rPr>
        <w:t>¿Dónde guardar?</w:t>
      </w:r>
      <w:r>
        <w:t xml:space="preserve"> → repositorio único de evidencias (EST-CARPETAS-001).</w:t>
      </w:r>
    </w:p>
    <w:p>
      <w:pPr>
        <w:pStyle w:val="ListNumber"/>
      </w:pPr>
      <w:r>
        <w:rPr>
          <w:b/>
        </w:rPr>
        <w:t>¿Cómo nombrar?</w:t>
      </w:r>
      <w:r>
        <w:t xml:space="preserve"> → nomenclatura estándar.</w:t>
      </w:r>
    </w:p>
    <w:p>
      <w:pPr>
        <w:pStyle w:val="ListNumber"/>
      </w:pPr>
      <w:r>
        <w:rPr>
          <w:b/>
        </w:rPr>
        <w:t>¿Cómo saber el estado?</w:t>
      </w:r>
      <w:r>
        <w:t xml:space="preserve"> → planilla de seguimiento de evidencias.</w:t>
      </w:r>
    </w:p>
    <w:p>
      <w:pPr>
        <w:pStyle w:val="ListNumber"/>
      </w:pPr>
      <w:r>
        <w:rPr>
          <w:b/>
        </w:rPr>
        <w:t>¿Cómo mantenerla?</w:t>
      </w:r>
      <w:r>
        <w:t xml:space="preserve"> → ciclo de renovación y validación.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Dónde guardar (repositorio de evidencias)</w:t>
      </w:r>
    </w:p>
    <w:p>
      <w:r>
        <w:t>Siguiendo EST-CARPETAS-001, todas las evidencias van en una única carpeta de evidencia separada de las plantillas:</w:t>
      </w:r>
    </w:p>
    <w:p>
      <w:pPr>
        <w:ind w:left="432"/>
      </w:pPr>
      <w:r>
        <w:rPr>
          <w:i/>
          <w:color w:val="606060"/>
        </w:rPr>
        <w:t>Si usás el repositorio por función del MCU 5.0 (00-GOBERNANZA…07-MEJORA), creá en cada función una subcarpeta `04-Evidencia/` para que cada evidencia quede junto a su tema. La regla es **un solo lugar de verdad** y **separación plantilla vs. evidencia**.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Nomenclatura de archivos de evidencia</w:t>
      </w:r>
    </w:p>
    <w:p>
      <w:r>
        <w:t xml:space="preserve">Formato: </w:t>
      </w:r>
      <w:r>
        <w:rPr>
          <w:rFonts w:ascii="Consolas" w:hAnsi="Consolas"/>
          <w:sz w:val="20"/>
        </w:rPr>
        <w:t>EV-[###]_[CodigoDocumento]_[QueEs]_[AAAA-MM-DD].[ext]</w:t>
      </w:r>
    </w:p>
    <w:p>
      <w:r>
        <w:t>Ejemplos:</w:t>
      </w:r>
    </w:p>
    <w:p>
      <w:pPr>
        <w:pStyle w:val="ListBullet"/>
      </w:pPr>
      <w:r>
        <w:rPr>
          <w:rFonts w:ascii="Consolas" w:hAnsi="Consolas"/>
          <w:sz w:val="20"/>
        </w:rPr>
        <w:t>EV-012_BCU-06_PruebaRestauracion_2026-08-06.pdf</w:t>
      </w:r>
    </w:p>
    <w:p>
      <w:pPr>
        <w:pStyle w:val="ListBullet"/>
      </w:pPr>
      <w:r>
        <w:rPr>
          <w:rFonts w:ascii="Consolas" w:hAnsi="Consolas"/>
          <w:sz w:val="20"/>
        </w:rPr>
        <w:t>EV-005_ID-01_ExportInventario-GLPI_2026-07-15.xlsx</w:t>
      </w:r>
    </w:p>
    <w:p>
      <w:pPr>
        <w:pStyle w:val="ListBullet"/>
      </w:pPr>
      <w:r>
        <w:rPr>
          <w:rFonts w:ascii="Consolas" w:hAnsi="Consolas"/>
          <w:sz w:val="20"/>
        </w:rPr>
        <w:t>EV-023_PR-02_ResultadoSimulacroPhishing_2026-05-20.csv</w:t>
      </w:r>
    </w:p>
    <w:p>
      <w:pPr>
        <w:pStyle w:val="ListBullet"/>
      </w:pPr>
      <w:r>
        <w:rPr>
          <w:rFonts w:ascii="Consolas" w:hAnsi="Consolas"/>
          <w:sz w:val="20"/>
        </w:rPr>
        <w:t>EV-031_URCDP-01_DocumentoSeguridad-Firmado_2026-04-30.pdf</w:t>
      </w:r>
    </w:p>
    <w:p>
      <w:r>
        <w:t>Reglas:</w:t>
      </w:r>
    </w:p>
    <w:p>
      <w:pPr>
        <w:pStyle w:val="ListBullet"/>
      </w:pPr>
      <w:r>
        <w:rPr>
          <w:b/>
        </w:rPr>
        <w:t>Un EV por evidencia</w:t>
      </w:r>
      <w:r>
        <w:t xml:space="preserve"> (el número sale de la planilla de seguimiento, no al revés).</w:t>
      </w:r>
    </w:p>
    <w:p>
      <w:pPr>
        <w:pStyle w:val="ListBullet"/>
      </w:pPr>
      <w:r>
        <w:rPr>
          <w:b/>
        </w:rPr>
        <w:t>Siempre la fecha</w:t>
      </w:r>
      <w:r>
        <w:t xml:space="preserve"> en formato </w:t>
      </w:r>
      <w:r>
        <w:rPr>
          <w:rFonts w:ascii="Consolas" w:hAnsi="Consolas"/>
          <w:sz w:val="20"/>
        </w:rPr>
        <w:t>AAAA-MM-DD</w:t>
      </w:r>
      <w:r>
        <w:t xml:space="preserve"> (permite ordenar y saber vigencia).</w:t>
      </w:r>
    </w:p>
    <w:p>
      <w:pPr>
        <w:pStyle w:val="ListBullet"/>
      </w:pPr>
      <w:r>
        <w:rPr>
          <w:b/>
        </w:rPr>
        <w:t>Nada de "final", "final2", "nuevo_final"</w:t>
      </w:r>
      <w:r>
        <w:t>: si cambia, se renombra con versión nueva y se registra.</w:t>
      </w:r>
    </w:p>
    <w:p>
      <w:pPr>
        <w:pStyle w:val="ListBullet"/>
      </w:pPr>
      <w:r>
        <w:t>Las evidencias firmadas/PDF se guardan como tal; los reportes de sistemas se exportan (no capturas de pantalla sueltas si se puede exportar).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Planilla de seguimiento de evidencias (el registro maestro)</w:t>
      </w:r>
    </w:p>
    <w:p>
      <w:r>
        <w:t xml:space="preserve">Mantené una planilla (LibreOffice Calc/Excel) </w:t>
      </w:r>
      <w:r>
        <w:rPr>
          <w:rFonts w:ascii="Consolas" w:hAnsi="Consolas"/>
          <w:sz w:val="20"/>
        </w:rPr>
        <w:t>Registro-Evidencias.xlsx</w:t>
      </w:r>
      <w:r>
        <w:t xml:space="preserve"> con columnas: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824"/>
          </w:tcPr>
          <w:p>
            <w:r/>
            <w:r>
              <w:t>EV-012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Control / requisito</w:t>
            </w:r>
          </w:p>
        </w:tc>
        <w:tc>
          <w:tcPr>
            <w:tcW w:type="dxa" w:w="4824"/>
          </w:tcPr>
          <w:p>
            <w:r/>
            <w:r>
              <w:t>BCU-06 · art. 492 (resguardo de datos)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Documento del kit</w:t>
            </w:r>
          </w:p>
        </w:tc>
        <w:tc>
          <w:tcPr>
            <w:tcW w:type="dxa" w:w="4824"/>
          </w:tcPr>
          <w:p>
            <w:r/>
            <w:r>
              <w:t>BCU-06 §5 · PR-05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Evidencia pedida</w:t>
            </w:r>
          </w:p>
        </w:tc>
        <w:tc>
          <w:tcPr>
            <w:tcW w:type="dxa" w:w="4824"/>
          </w:tcPr>
          <w:p>
            <w:r/>
            <w:r>
              <w:t>Prueba de restauración de respaldo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Área responsable</w:t>
            </w:r>
          </w:p>
        </w:tc>
        <w:tc>
          <w:tcPr>
            <w:tcW w:type="dxa" w:w="4824"/>
          </w:tcPr>
          <w:p>
            <w:r/>
            <w:r>
              <w:t>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Formato</w:t>
            </w:r>
          </w:p>
        </w:tc>
        <w:tc>
          <w:tcPr>
            <w:tcW w:type="dxa" w:w="4824"/>
          </w:tcPr>
          <w:p>
            <w:r/>
            <w:r>
              <w:t>PDF firmado / export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Solicitada · Recibida · Validada · Brecha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pedido</w:t>
            </w:r>
          </w:p>
        </w:tc>
        <w:tc>
          <w:tcPr>
            <w:tcW w:type="dxa" w:w="4824"/>
          </w:tcPr>
          <w:p>
            <w:r/>
            <w:r>
              <w:t>2026-07-20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recibida</w:t>
            </w:r>
          </w:p>
        </w:tc>
        <w:tc>
          <w:tcPr>
            <w:tcW w:type="dxa" w:w="4824"/>
          </w:tcPr>
          <w:p>
            <w:r/>
            <w:r>
              <w:t>2026-07-28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Validada por</w:t>
            </w:r>
          </w:p>
        </w:tc>
        <w:tc>
          <w:tcPr>
            <w:tcW w:type="dxa" w:w="4824"/>
          </w:tcPr>
          <w:p>
            <w:r/>
            <w:r>
              <w:t>RSI (nombre)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vigencia / próxima revisión</w:t>
            </w:r>
          </w:p>
        </w:tc>
        <w:tc>
          <w:tcPr>
            <w:tcW w:type="dxa" w:w="4824"/>
          </w:tcPr>
          <w:p>
            <w:r/>
            <w:r>
              <w:t>2026-11-01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Ruta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06-CUMPLIMIENTO\02-BCU\BCU-06\EV-012_BCU-06_PruebaRestauracion_2026-08-06.pdf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Observaciones</w:t>
            </w:r>
          </w:p>
        </w:tc>
        <w:tc>
          <w:tcPr>
            <w:tcW w:type="dxa" w:w="4824"/>
          </w:tcPr>
          <w:p>
            <w:r/>
            <w:r>
              <w:t>Se repite semestral</w:t>
            </w:r>
          </w:p>
        </w:tc>
      </w:tr>
    </w:tbl>
    <w:p>
      <w:pPr>
        <w:ind w:left="432"/>
      </w:pPr>
      <w:r>
        <w:rPr>
          <w:i/>
          <w:color w:val="606060"/>
        </w:rPr>
        <w:t>Esta planilla es la **misma** que propone RELEV-07 (estados Solicitada → Recibida → Validada / "No existe → brecha"). La diferencia aquí es que se usa **de forma permanente**, no solo durante el relevamiento.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Ciclo de vida de una evidencia</w:t>
      </w:r>
    </w:p>
    <w:p>
      <w:pPr>
        <w:pStyle w:val="ListNumber"/>
      </w:pPr>
      <w:r>
        <w:rPr>
          <w:b/>
        </w:rPr>
        <w:t>Definir</w:t>
      </w:r>
      <w:r>
        <w:t>: para cada control del EV-02, decidir qué evidencia se pide y su frecuencia.</w:t>
      </w:r>
    </w:p>
    <w:p>
      <w:pPr>
        <w:pStyle w:val="ListNumber"/>
      </w:pPr>
      <w:r>
        <w:rPr>
          <w:b/>
        </w:rPr>
        <w:t>Solicitar</w:t>
      </w:r>
      <w:r>
        <w:t>: pedido por escrito (plantilla RELEV-07) al área responsable.</w:t>
      </w:r>
    </w:p>
    <w:p>
      <w:pPr>
        <w:pStyle w:val="ListNumber"/>
      </w:pPr>
      <w:r>
        <w:rPr>
          <w:b/>
        </w:rPr>
        <w:t>Recibir</w:t>
      </w:r>
      <w:r>
        <w:t>: registrar en la planilla (fecha recibida, formato).</w:t>
      </w:r>
    </w:p>
    <w:p>
      <w:pPr>
        <w:pStyle w:val="ListNumber"/>
      </w:pPr>
      <w:r>
        <w:rPr>
          <w:b/>
        </w:rPr>
        <w:t>Validar</w:t>
      </w:r>
      <w:r>
        <w:t>: ¿fechada? ¿íntegra? ¿trazable? ¿de la fuente correcta? (atributos INFRA-08).</w:t>
      </w:r>
    </w:p>
    <w:p>
      <w:pPr>
        <w:pStyle w:val="ListNumber"/>
      </w:pPr>
      <w:r>
        <w:rPr>
          <w:b/>
        </w:rPr>
        <w:t>Guardar</w:t>
      </w:r>
      <w:r>
        <w:t>: copiar al repositorio con la nomenclatura EV y actualizar la ruta.</w:t>
      </w:r>
    </w:p>
    <w:p>
      <w:pPr>
        <w:pStyle w:val="ListNumber"/>
      </w:pPr>
      <w:r>
        <w:rPr>
          <w:b/>
        </w:rPr>
        <w:t>Renovar</w:t>
      </w:r>
      <w:r>
        <w:t>: según la frecuencia del control (mensual/semestral/anual), pedir la actualización antes de que venza.</w:t>
      </w:r>
    </w:p>
    <w:p>
      <w:pPr>
        <w:pStyle w:val="ListNumber"/>
      </w:pPr>
      <w:r>
        <w:rPr>
          <w:b/>
        </w:rPr>
        <w:t>Archivar/descartar</w:t>
      </w:r>
      <w:r>
        <w:t>: las versiones viejas se archivan (no se borran) con la fecha; se conserva la retención definida (ver §6).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Retención de evidencias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 de 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Retención sugerida</w:t>
            </w:r>
          </w:p>
        </w:tc>
      </w:tr>
      <w:tr>
        <w:tc>
          <w:tcPr>
            <w:tcW w:type="dxa" w:w="4824"/>
          </w:tcPr>
          <w:p>
            <w:r/>
            <w:r>
              <w:t>Logs de eventos (Decreto 66/025)</w:t>
            </w:r>
          </w:p>
        </w:tc>
        <w:tc>
          <w:tcPr>
            <w:tcW w:type="dxa" w:w="4824"/>
          </w:tcPr>
          <w:p>
            <w:r/>
            <w:r>
              <w:t>≥ 12 meses</w:t>
            </w:r>
          </w:p>
        </w:tc>
      </w:tr>
      <w:tr>
        <w:tc>
          <w:tcPr>
            <w:tcW w:type="dxa" w:w="4824"/>
          </w:tcPr>
          <w:p>
            <w:r/>
            <w:r>
              <w:t>Evidencias de respaldo / restauración</w:t>
            </w:r>
          </w:p>
        </w:tc>
        <w:tc>
          <w:tcPr>
            <w:tcW w:type="dxa" w:w="4824"/>
          </w:tcPr>
          <w:p>
            <w:r/>
            <w:r>
              <w:t>2 ciclos + 12 meses</w:t>
            </w:r>
          </w:p>
        </w:tc>
      </w:tr>
      <w:tr>
        <w:tc>
          <w:tcPr>
            <w:tcW w:type="dxa" w:w="4824"/>
          </w:tcPr>
          <w:p>
            <w:r/>
            <w:r>
              <w:t>Notificaciones a URCDP/BCU/CERTuy</w:t>
            </w:r>
          </w:p>
        </w:tc>
        <w:tc>
          <w:tcPr>
            <w:tcW w:type="dxa" w:w="4824"/>
          </w:tcPr>
          <w:p>
            <w:r/>
            <w:r>
              <w:t>5 años</w:t>
            </w:r>
          </w:p>
        </w:tc>
      </w:tr>
      <w:tr>
        <w:tc>
          <w:tcPr>
            <w:tcW w:type="dxa" w:w="4824"/>
          </w:tcPr>
          <w:p>
            <w:r/>
            <w:r>
              <w:t>Documentos firmados del SGSI (políticas, actas)</w:t>
            </w:r>
          </w:p>
        </w:tc>
        <w:tc>
          <w:tcPr>
            <w:tcW w:type="dxa" w:w="4824"/>
          </w:tcPr>
          <w:p>
            <w:r/>
            <w:r>
              <w:t>5 años (o el plazo legal mayor)</w:t>
            </w:r>
          </w:p>
        </w:tc>
      </w:tr>
      <w:tr>
        <w:tc>
          <w:tcPr>
            <w:tcW w:type="dxa" w:w="4824"/>
          </w:tcPr>
          <w:p>
            <w:r/>
            <w:r>
              <w:t>Informes de auditoría</w:t>
            </w:r>
          </w:p>
        </w:tc>
        <w:tc>
          <w:tcPr>
            <w:tcW w:type="dxa" w:w="4824"/>
          </w:tcPr>
          <w:p>
            <w:r/>
            <w:r>
              <w:t>5 años</w:t>
            </w:r>
          </w:p>
        </w:tc>
      </w:tr>
      <w:tr>
        <w:tc>
          <w:tcPr>
            <w:tcW w:type="dxa" w:w="4824"/>
          </w:tcPr>
          <w:p>
            <w:r/>
            <w:r>
              <w:t>Evidencias de concientización</w:t>
            </w:r>
          </w:p>
        </w:tc>
        <w:tc>
          <w:tcPr>
            <w:tcW w:type="dxa" w:w="4824"/>
          </w:tcPr>
          <w:p>
            <w:r/>
            <w:r>
              <w:t>2 años</w:t>
            </w:r>
          </w:p>
        </w:tc>
      </w:tr>
    </w:tbl>
    <w:p>
      <w:pPr>
        <w:ind w:left="432"/>
      </w:pPr>
      <w:r>
        <w:rPr>
          <w:i/>
          <w:color w:val="606060"/>
        </w:rPr>
        <w:t>Verificá siempre los plazos legales vigentes (URCDP, BCU, Agesic) y la política de retención del Banco. Lo que no se conserva, no se puede demostrar.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Herramientas para sistematizar (open source, del curso rsi-tools)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GLPI</w:t>
            </w:r>
            <w:r>
              <w:t xml:space="preserve"> (TOOLS-04)</w:t>
            </w:r>
          </w:p>
        </w:tc>
        <w:tc>
          <w:tcPr>
            <w:tcW w:type="dxa" w:w="4824"/>
          </w:tcPr>
          <w:p>
            <w:r/>
            <w:r>
              <w:t>Inventario de activos y tickets (evidencia de gestión)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Eramba / planilla</w:t>
            </w:r>
            <w:r>
              <w:t xml:space="preserve"> (TOOLS-05)</w:t>
            </w:r>
          </w:p>
        </w:tc>
        <w:tc>
          <w:tcPr>
            <w:tcW w:type="dxa" w:w="4824"/>
          </w:tcPr>
          <w:p>
            <w:r/>
            <w:r>
              <w:t>Registro de riesgos y tratamientos (evidencia ID)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Vaultwarden/Bitwarden</w:t>
            </w:r>
            <w:r>
              <w:t xml:space="preserve"> (TOOLS-06)</w:t>
            </w:r>
          </w:p>
        </w:tc>
        <w:tc>
          <w:tcPr>
            <w:tcW w:type="dxa" w:w="4824"/>
          </w:tcPr>
          <w:p>
            <w:r/>
            <w:r>
              <w:t>Custodia de claves de repositorios cifrados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VeraCrypt/7-Zip</w:t>
            </w:r>
            <w:r>
              <w:t xml:space="preserve"> (TOOLS-07)</w:t>
            </w:r>
          </w:p>
        </w:tc>
        <w:tc>
          <w:tcPr>
            <w:tcW w:type="dxa" w:w="4824"/>
          </w:tcPr>
          <w:p>
            <w:r/>
            <w:r>
              <w:t>Cifrar el repositorio de evidencias confidenciales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Wazuh</w:t>
            </w:r>
            <w:r>
              <w:t xml:space="preserve"> (TOOLS-10)</w:t>
            </w:r>
          </w:p>
        </w:tc>
        <w:tc>
          <w:tcPr>
            <w:tcW w:type="dxa" w:w="4824"/>
          </w:tcPr>
          <w:p>
            <w:r/>
            <w:r>
              <w:t>Logs y alertas (evidencia DE, retención)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TheHive</w:t>
            </w:r>
            <w:r>
              <w:t xml:space="preserve"> (TOOLS-11)</w:t>
            </w:r>
          </w:p>
        </w:tc>
        <w:tc>
          <w:tcPr>
            <w:tcW w:type="dxa" w:w="4824"/>
          </w:tcPr>
          <w:p>
            <w:r/>
            <w:r>
              <w:t>Casos de incidentes (evidencia 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Veeam/BorgBackup</w:t>
            </w:r>
            <w:r>
              <w:t xml:space="preserve"> (TOOLS-12)</w:t>
            </w:r>
          </w:p>
        </w:tc>
        <w:tc>
          <w:tcPr>
            <w:tcW w:type="dxa" w:w="4824"/>
          </w:tcPr>
          <w:p>
            <w:r/>
            <w:r>
              <w:t>Respaldo del propio repositorio de evidencias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Obsidian/Joplin/LibreOffice</w:t>
            </w:r>
            <w:r>
              <w:t xml:space="preserve"> (TOOLS-03)</w:t>
            </w:r>
          </w:p>
        </w:tc>
        <w:tc>
          <w:tcPr>
            <w:tcW w:type="dxa" w:w="4824"/>
          </w:tcPr>
          <w:p>
            <w:r/>
            <w:r>
              <w:t>Índice y edición de la documentación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Cómo presentar las evidencias ante un supervisor o auditor</w:t>
      </w:r>
    </w:p>
    <w:p>
      <w:pPr>
        <w:pStyle w:val="ListNumber"/>
      </w:pPr>
      <w:r>
        <w:rPr>
          <w:b/>
        </w:rPr>
        <w:t>Resumen ejecutivo</w:t>
      </w:r>
      <w:r>
        <w:t xml:space="preserve"> (1 página): qué control demuestra cada evidencia (usá EV-01/EV-02).</w:t>
      </w:r>
    </w:p>
    <w:p>
      <w:pPr>
        <w:pStyle w:val="ListNumber"/>
      </w:pPr>
      <w:r>
        <w:rPr>
          <w:b/>
        </w:rPr>
        <w:t>MATRIZ-001</w:t>
      </w:r>
      <w:r>
        <w:t>: mapa norma → documento → evidencia.</w:t>
      </w:r>
    </w:p>
    <w:p>
      <w:pPr>
        <w:pStyle w:val="ListNumber"/>
      </w:pPr>
      <w:r>
        <w:rPr>
          <w:b/>
        </w:rPr>
        <w:t>Índice de evidencias</w:t>
      </w:r>
      <w:r>
        <w:t>: la planilla de seguimiento filtrada por requisito.</w:t>
      </w:r>
    </w:p>
    <w:p>
      <w:pPr>
        <w:pStyle w:val="ListNumber"/>
      </w:pPr>
      <w:r>
        <w:rPr>
          <w:b/>
        </w:rPr>
        <w:t>Las evidencias mismas</w:t>
      </w:r>
      <w:r>
        <w:t>: abiertas, legibles, con fecha visible.</w:t>
      </w:r>
    </w:p>
    <w:p>
      <w:pPr>
        <w:pStyle w:val="ListNumber"/>
      </w:pPr>
      <w:r>
        <w:rPr>
          <w:b/>
        </w:rPr>
        <w:t>Si falta algo</w:t>
      </w:r>
      <w:r>
        <w:t>: mostrá la brecha, el riesgo asociado (ID-02/03) y el plan de cierre (ID-04/GV-04). Un supervisor valora más la honestidad con plan que la evidencia falsa.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Checklist de cierre del RSI</w:t>
      </w:r>
    </w:p>
    <w:p>
      <w:pPr>
        <w:pStyle w:val="ListBullet"/>
      </w:pPr>
      <w:r>
        <w:t>☐ El repositorio de evidencias sigue EST-CARPETAS-001 (un solo lugar de verdad).</w:t>
      </w:r>
    </w:p>
    <w:p>
      <w:pPr>
        <w:pStyle w:val="ListBullet"/>
      </w:pPr>
      <w:r>
        <w:t xml:space="preserve">☐ Todas las evidencias tienen nomenclatura </w:t>
      </w:r>
      <w:r>
        <w:rPr>
          <w:rFonts w:ascii="Consolas" w:hAnsi="Consolas"/>
          <w:sz w:val="20"/>
        </w:rPr>
        <w:t>EV-[###]_...</w:t>
      </w:r>
      <w:r>
        <w:t>.</w:t>
      </w:r>
    </w:p>
    <w:p>
      <w:pPr>
        <w:pStyle w:val="ListBullet"/>
      </w:pPr>
      <w:r>
        <w:t>☐ La planilla de seguimiento está actualizada (estados, fechas, rutas).</w:t>
      </w:r>
    </w:p>
    <w:p>
      <w:pPr>
        <w:pStyle w:val="ListBullet"/>
      </w:pPr>
      <w:r>
        <w:t>☐ Cada control del EV-02 tiene su evidencia elegida y solicitada.</w:t>
      </w:r>
    </w:p>
    <w:p>
      <w:pPr>
        <w:pStyle w:val="ListBullet"/>
      </w:pPr>
      <w:r>
        <w:t>☐ Las evidencias se renuevan según frecuencia y están validadas.</w:t>
      </w:r>
    </w:p>
    <w:p>
      <w:pPr>
        <w:pStyle w:val="ListBullet"/>
      </w:pPr>
      <w:r>
        <w:t>☐ El repositorio está respaldado (TOOLS-12) y las claves custodiadas (TOOLS-06).</w:t>
      </w:r>
    </w:p>
    <w:p>
      <w:pPr>
        <w:pStyle w:val="ListBullet"/>
      </w:pPr>
      <w:r>
        <w:t>☐ Se puede presentar un expediente completo en menos de 1 día hábil.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EST-CARPETAS-001, INFRA-08, RELEV-07, EV-01, EV-02, EV-04, EV-05, MATRIZ-001, TOOLS-04/05/06/07/10/11/12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