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Inventario de Herramientas para el SGSI del Banco</w:t>
      </w:r>
    </w:p>
    <w:p>
      <w:pPr>
        <w:ind w:left="432"/>
      </w:pPr>
      <w:r>
        <w:rPr>
          <w:i/>
          <w:color w:val="606060"/>
        </w:rPr>
        <w:t>**Código:** HERRAM-001 · **Versión:** 1.0</w:t>
      </w:r>
    </w:p>
    <w:p>
      <w:pPr>
        <w:ind w:left="432"/>
      </w:pPr>
      <w:r>
        <w:rPr>
          <w:i/>
          <w:color w:val="606060"/>
        </w:rPr>
        <w:t>**Objetivo:** listar las herramientas (priorizando software libre / de bajo costo) que el Banco puede usar para implementar y sostener cada función del SGSI. Todas son ejemplos: la decisión de compra la toma el Comité según presupuesto y contexto.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Herramientas por función del MCU 5.0</w:t>
      </w:r>
    </w:p>
    <w:p>
      <w:pPr>
        <w:pStyle w:val="Heading3"/>
      </w:pPr>
      <w:r>
        <w:rPr>
          <w:color w:val="1F3B63"/>
        </w:rPr>
        <w:t>Gobernar (GV)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Libre/Comercial</w:t>
            </w:r>
          </w:p>
        </w:tc>
      </w:tr>
      <w:tr>
        <w:tc>
          <w:tcPr>
            <w:tcW w:type="dxa" w:w="3216"/>
          </w:tcPr>
          <w:p>
            <w:r/>
            <w:r>
              <w:t>Lista de verificación del MCU 5.0 (Agesic)</w:t>
            </w:r>
          </w:p>
        </w:tc>
        <w:tc>
          <w:tcPr>
            <w:tcW w:type="dxa" w:w="3216"/>
          </w:tcPr>
          <w:p>
            <w:r/>
            <w:r>
              <w:t>Diagnóstico de madurez</w:t>
            </w:r>
          </w:p>
        </w:tc>
        <w:tc>
          <w:tcPr>
            <w:tcW w:type="dxa" w:w="3216"/>
          </w:tcPr>
          <w:p>
            <w:r/>
            <w:r>
              <w:t>Libre (sitio Agesic)</w:t>
            </w:r>
          </w:p>
        </w:tc>
      </w:tr>
      <w:tr>
        <w:tc>
          <w:tcPr>
            <w:tcW w:type="dxa" w:w="3216"/>
          </w:tcPr>
          <w:p>
            <w:r/>
            <w:r>
              <w:t>Planilla xlsx "Implantación SGSI – Inventario de activos y Evaluación de riesgos" (Agesic)</w:t>
            </w:r>
          </w:p>
        </w:tc>
        <w:tc>
          <w:tcPr>
            <w:tcW w:type="dxa" w:w="3216"/>
          </w:tcPr>
          <w:p>
            <w:r/>
            <w:r>
              <w:t>Inventario + riesgos</w:t>
            </w:r>
          </w:p>
        </w:tc>
        <w:tc>
          <w:tcPr>
            <w:tcW w:type="dxa" w:w="3216"/>
          </w:tcPr>
          <w:p>
            <w:r/>
            <w:r>
              <w:t>Libre (sitio Agesic)</w:t>
            </w:r>
          </w:p>
        </w:tc>
      </w:tr>
      <w:tr>
        <w:tc>
          <w:tcPr>
            <w:tcW w:type="dxa" w:w="3216"/>
          </w:tcPr>
          <w:p>
            <w:r/>
            <w:r>
              <w:t>Microsoft 365 / SharePoint del Banco</w:t>
            </w:r>
          </w:p>
        </w:tc>
        <w:tc>
          <w:tcPr>
            <w:tcW w:type="dxa" w:w="3216"/>
          </w:tcPr>
          <w:p>
            <w:r/>
            <w:r>
              <w:t>Repositorio documental del SGSI</w:t>
            </w:r>
          </w:p>
        </w:tc>
        <w:tc>
          <w:tcPr>
            <w:tcW w:type="dxa" w:w="3216"/>
          </w:tcPr>
          <w:p>
            <w:r/>
            <w:r>
              <w:t>Comercial (ya en uso)</w:t>
            </w:r>
          </w:p>
        </w:tc>
      </w:tr>
      <w:tr>
        <w:tc>
          <w:tcPr>
            <w:tcW w:type="dxa" w:w="3216"/>
          </w:tcPr>
          <w:p>
            <w:r/>
            <w:r>
              <w:t>LibreOffice Calc / Excel</w:t>
            </w:r>
          </w:p>
        </w:tc>
        <w:tc>
          <w:tcPr>
            <w:tcW w:type="dxa" w:w="3216"/>
          </w:tcPr>
          <w:p>
            <w:r/>
            <w:r>
              <w:t>Matriz de riesgo, plan de tratamiento, SoA</w:t>
            </w:r>
          </w:p>
        </w:tc>
        <w:tc>
          <w:tcPr>
            <w:tcW w:type="dxa" w:w="3216"/>
          </w:tcPr>
          <w:p>
            <w:r/>
            <w:r>
              <w:t>Libre/Comercial</w:t>
            </w:r>
          </w:p>
        </w:tc>
      </w:tr>
      <w:tr>
        <w:tc>
          <w:tcPr>
            <w:tcW w:type="dxa" w:w="3216"/>
          </w:tcPr>
          <w:p>
            <w:r/>
            <w:r>
              <w:t>ERP de gestión de riesgos (o planilla)</w:t>
            </w:r>
          </w:p>
        </w:tc>
        <w:tc>
          <w:tcPr>
            <w:tcW w:type="dxa" w:w="3216"/>
          </w:tcPr>
          <w:p>
            <w:r/>
            <w:r>
              <w:t>Registro de riesgos y tratamiento</w:t>
            </w:r>
          </w:p>
        </w:tc>
        <w:tc>
          <w:tcPr>
            <w:tcW w:type="dxa" w:w="3216"/>
          </w:tcPr>
          <w:p>
            <w:r/>
            <w:r>
              <w:t>A definir</w:t>
            </w:r>
          </w:p>
        </w:tc>
      </w:tr>
    </w:tbl>
    <w:p>
      <w:pPr>
        <w:pStyle w:val="Heading3"/>
      </w:pPr>
      <w:r>
        <w:rPr>
          <w:color w:val="1F3B63"/>
        </w:rPr>
        <w:t>Identificar (ID)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Libre/Comercial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Nmap</w:t>
            </w:r>
            <w:r>
              <w:t xml:space="preserve"> + </w:t>
            </w:r>
            <w:r>
              <w:rPr>
                <w:b/>
              </w:rPr>
              <w:t>Zenmap</w:t>
            </w:r>
          </w:p>
        </w:tc>
        <w:tc>
          <w:tcPr>
            <w:tcW w:type="dxa" w:w="3216"/>
          </w:tcPr>
          <w:p>
            <w:r/>
            <w:r>
              <w:t>Descubrimiento de activos y puertos en red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t>Inventario de hardware/software del parque (o planilla)</w:t>
            </w:r>
          </w:p>
        </w:tc>
        <w:tc>
          <w:tcPr>
            <w:tcW w:type="dxa" w:w="3216"/>
          </w:tcPr>
          <w:p>
            <w:r/>
            <w:r>
              <w:t>Base del inventario de activos</w:t>
            </w:r>
          </w:p>
        </w:tc>
        <w:tc>
          <w:tcPr>
            <w:tcW w:type="dxa" w:w="3216"/>
          </w:tcPr>
          <w:p>
            <w:r/>
            <w:r>
              <w:t>A definir</w:t>
            </w:r>
          </w:p>
        </w:tc>
      </w:tr>
      <w:tr>
        <w:tc>
          <w:tcPr>
            <w:tcW w:type="dxa" w:w="3216"/>
          </w:tcPr>
          <w:p>
            <w:r/>
            <w:r>
              <w:t>Diagramas.net (draw.io)</w:t>
            </w:r>
          </w:p>
        </w:tc>
        <w:tc>
          <w:tcPr>
            <w:tcW w:type="dxa" w:w="3216"/>
          </w:tcPr>
          <w:p>
            <w:r/>
            <w:r>
              <w:t>Diagramas de red y de flujos de datos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GLPI</w:t>
            </w:r>
          </w:p>
        </w:tc>
        <w:tc>
          <w:tcPr>
            <w:tcW w:type="dxa" w:w="3216"/>
          </w:tcPr>
          <w:p>
            <w:r/>
            <w:r>
              <w:t>Inventario de activos y gestión de incidencias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Eramba</w:t>
            </w:r>
            <w:r>
              <w:t xml:space="preserve"> / </w:t>
            </w:r>
            <w:r>
              <w:rPr>
                <w:b/>
              </w:rPr>
              <w:t>OpenRisk</w:t>
            </w:r>
            <w:r>
              <w:t xml:space="preserve"> (o planilla)</w:t>
            </w:r>
          </w:p>
        </w:tc>
        <w:tc>
          <w:tcPr>
            <w:tcW w:type="dxa" w:w="3216"/>
          </w:tcPr>
          <w:p>
            <w:r/>
            <w:r>
              <w:t>Registro de riesgos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</w:tbl>
    <w:p>
      <w:pPr>
        <w:pStyle w:val="Heading3"/>
      </w:pPr>
      <w:r>
        <w:rPr>
          <w:color w:val="1F3B63"/>
        </w:rPr>
        <w:t>Proteger (PR)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Libre/Comercial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Bitwarden</w:t>
            </w:r>
            <w:r>
              <w:t xml:space="preserve"> / </w:t>
            </w:r>
            <w:r>
              <w:rPr>
                <w:b/>
              </w:rPr>
              <w:t>Vaultwarden</w:t>
            </w:r>
          </w:p>
        </w:tc>
        <w:tc>
          <w:tcPr>
            <w:tcW w:type="dxa" w:w="3216"/>
          </w:tcPr>
          <w:p>
            <w:r/>
            <w:r>
              <w:t>Gestor de contraseñas y secretos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t xml:space="preserve">MFA: </w:t>
            </w:r>
            <w:r>
              <w:rPr>
                <w:b/>
              </w:rPr>
              <w:t>Authenticator</w:t>
            </w:r>
            <w:r>
              <w:t xml:space="preserve"> (TOTP) o tokens hardware</w:t>
            </w:r>
          </w:p>
        </w:tc>
        <w:tc>
          <w:tcPr>
            <w:tcW w:type="dxa" w:w="3216"/>
          </w:tcPr>
          <w:p>
            <w:r/>
            <w:r>
              <w:t>Segundo factor para accesos</w:t>
            </w:r>
          </w:p>
        </w:tc>
        <w:tc>
          <w:tcPr>
            <w:tcW w:type="dxa" w:w="3216"/>
          </w:tcPr>
          <w:p>
            <w:r/>
            <w:r>
              <w:t>Libre/Comercial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VeraCrypt</w:t>
            </w:r>
          </w:p>
        </w:tc>
        <w:tc>
          <w:tcPr>
            <w:tcW w:type="dxa" w:w="3216"/>
          </w:tcPr>
          <w:p>
            <w:r/>
            <w:r>
              <w:t>Cifrado de discos y volúmenes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OpenSSL</w:t>
            </w:r>
            <w:r>
              <w:t xml:space="preserve"> / PowerShell</w:t>
            </w:r>
          </w:p>
        </w:tc>
        <w:tc>
          <w:tcPr>
            <w:tcW w:type="dxa" w:w="3216"/>
          </w:tcPr>
          <w:p>
            <w:r/>
            <w:r>
              <w:t>Cifrado de archivos y gestión de claves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ClamAV</w:t>
            </w:r>
            <w:r>
              <w:t xml:space="preserve"> (con gestión central) o antivirus corporativo</w:t>
            </w:r>
          </w:p>
        </w:tc>
        <w:tc>
          <w:tcPr>
            <w:tcW w:type="dxa" w:w="3216"/>
          </w:tcPr>
          <w:p>
            <w:r/>
            <w:r>
              <w:t>Protección contra malware</w:t>
            </w:r>
          </w:p>
        </w:tc>
        <w:tc>
          <w:tcPr>
            <w:tcW w:type="dxa" w:w="3216"/>
          </w:tcPr>
          <w:p>
            <w:r/>
            <w:r>
              <w:t>Libre/Comercial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Veeam Community / Btrfs / rsync</w:t>
            </w:r>
            <w:r>
              <w:t xml:space="preserve"> + almacenamiento externo</w:t>
            </w:r>
          </w:p>
        </w:tc>
        <w:tc>
          <w:tcPr>
            <w:tcW w:type="dxa" w:w="3216"/>
          </w:tcPr>
          <w:p>
            <w:r/>
            <w:r>
              <w:t>Copias de respaldo (PR-05, art. 492)</w:t>
            </w:r>
          </w:p>
        </w:tc>
        <w:tc>
          <w:tcPr>
            <w:tcW w:type="dxa" w:w="3216"/>
          </w:tcPr>
          <w:p>
            <w:r/>
            <w:r>
              <w:t>Libre/Comercial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OpenVAS / Greenbone</w:t>
            </w:r>
          </w:p>
        </w:tc>
        <w:tc>
          <w:tcPr>
            <w:tcW w:type="dxa" w:w="3216"/>
          </w:tcPr>
          <w:p>
            <w:r/>
            <w:r>
              <w:t>Escaneo de vulnerabilidades (PR-06)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Trivy</w:t>
            </w:r>
          </w:p>
        </w:tc>
        <w:tc>
          <w:tcPr>
            <w:tcW w:type="dxa" w:w="3216"/>
          </w:tcPr>
          <w:p>
            <w:r/>
            <w:r>
              <w:t>Escaneo de vulnerabilidades de imágenes/containers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OWASP ZAP</w:t>
            </w:r>
          </w:p>
        </w:tc>
        <w:tc>
          <w:tcPr>
            <w:tcW w:type="dxa" w:w="3216"/>
          </w:tcPr>
          <w:p>
            <w:r/>
            <w:r>
              <w:t>Pruebas de seguridad de aplicaciones web (DAST)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Semgrep</w:t>
            </w:r>
          </w:p>
        </w:tc>
        <w:tc>
          <w:tcPr>
            <w:tcW w:type="dxa" w:w="3216"/>
          </w:tcPr>
          <w:p>
            <w:r/>
            <w:r>
              <w:t>Análisis estático de código (SAST)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Gophish</w:t>
            </w:r>
          </w:p>
        </w:tc>
        <w:tc>
          <w:tcPr>
            <w:tcW w:type="dxa" w:w="3216"/>
          </w:tcPr>
          <w:p>
            <w:r/>
            <w:r>
              <w:t>Simulacros de phishing (PR-02)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7-Zip</w:t>
            </w:r>
            <w:r>
              <w:t xml:space="preserve"> con cifrado</w:t>
            </w:r>
          </w:p>
        </w:tc>
        <w:tc>
          <w:tcPr>
            <w:tcW w:type="dxa" w:w="3216"/>
          </w:tcPr>
          <w:p>
            <w:r/>
            <w:r>
              <w:t>Compresión y cifrado de archivos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</w:tbl>
    <w:p>
      <w:pPr>
        <w:pStyle w:val="Heading3"/>
      </w:pPr>
      <w:r>
        <w:rPr>
          <w:color w:val="1F3B63"/>
        </w:rPr>
        <w:t>Detectar (DE)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Libre/Comercial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Wazuh</w:t>
            </w:r>
            <w:r>
              <w:t xml:space="preserve"> (SIEM + XDR)</w:t>
            </w:r>
          </w:p>
        </w:tc>
        <w:tc>
          <w:tcPr>
            <w:tcW w:type="dxa" w:w="3216"/>
          </w:tcPr>
          <w:p>
            <w:r/>
            <w:r>
              <w:t>Centralización de logs, correlación, detección de intrusos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Sysmon</w:t>
            </w:r>
            <w:r>
              <w:t xml:space="preserve"> (Windows) + </w:t>
            </w:r>
            <w:r>
              <w:rPr>
                <w:b/>
              </w:rPr>
              <w:t>auditd</w:t>
            </w:r>
            <w:r>
              <w:t xml:space="preserve"> (Linux)</w:t>
            </w:r>
          </w:p>
        </w:tc>
        <w:tc>
          <w:tcPr>
            <w:tcW w:type="dxa" w:w="3216"/>
          </w:tcPr>
          <w:p>
            <w:r/>
            <w:r>
              <w:t>Registro detallado de eventos de los endpoints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Suricata</w:t>
            </w:r>
          </w:p>
        </w:tc>
        <w:tc>
          <w:tcPr>
            <w:tcW w:type="dxa" w:w="3216"/>
          </w:tcPr>
          <w:p>
            <w:r/>
            <w:r>
              <w:t>Detección de intrusiones en red (IDS/IPS)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Grafana + Loki/Prometheus</w:t>
            </w:r>
          </w:p>
        </w:tc>
        <w:tc>
          <w:tcPr>
            <w:tcW w:type="dxa" w:w="3216"/>
          </w:tcPr>
          <w:p>
            <w:r/>
            <w:r>
              <w:t>Monitoreo y paneles de indicadores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Nessus Essentials</w:t>
            </w:r>
          </w:p>
        </w:tc>
        <w:tc>
          <w:tcPr>
            <w:tcW w:type="dxa" w:w="3216"/>
          </w:tcPr>
          <w:p>
            <w:r/>
            <w:r>
              <w:t>Escaneo de vulnerabilidades adicional</w:t>
            </w:r>
          </w:p>
        </w:tc>
        <w:tc>
          <w:tcPr>
            <w:tcW w:type="dxa" w:w="3216"/>
          </w:tcPr>
          <w:p>
            <w:r/>
            <w:r>
              <w:t>Freemium</w:t>
            </w:r>
          </w:p>
        </w:tc>
      </w:tr>
      <w:tr>
        <w:tc>
          <w:tcPr>
            <w:tcW w:type="dxa" w:w="3216"/>
          </w:tcPr>
          <w:p>
            <w:r/>
            <w:r>
              <w:t>Metadefender / Sandbox (opcional)</w:t>
            </w:r>
          </w:p>
        </w:tc>
        <w:tc>
          <w:tcPr>
            <w:tcW w:type="dxa" w:w="3216"/>
          </w:tcPr>
          <w:p>
            <w:r/>
            <w:r>
              <w:t>Análisis de malware</w:t>
            </w:r>
          </w:p>
        </w:tc>
        <w:tc>
          <w:tcPr>
            <w:tcW w:type="dxa" w:w="3216"/>
          </w:tcPr>
          <w:p>
            <w:r/>
            <w:r>
              <w:t>Comercial</w:t>
            </w:r>
          </w:p>
        </w:tc>
      </w:tr>
    </w:tbl>
    <w:p>
      <w:pPr>
        <w:pStyle w:val="Heading3"/>
      </w:pPr>
      <w:r>
        <w:rPr>
          <w:color w:val="1F3B63"/>
        </w:rPr>
        <w:t>Responder (RS)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Libre/Comercial</w:t>
            </w:r>
          </w:p>
        </w:tc>
      </w:tr>
      <w:tr>
        <w:tc>
          <w:tcPr>
            <w:tcW w:type="dxa" w:w="3216"/>
          </w:tcPr>
          <w:p>
            <w:r/>
            <w:r>
              <w:t>Sistema de tickets (GLPI / OTRS / TheHive)</w:t>
            </w:r>
          </w:p>
        </w:tc>
        <w:tc>
          <w:tcPr>
            <w:tcW w:type="dxa" w:w="3216"/>
          </w:tcPr>
          <w:p>
            <w:r/>
            <w:r>
              <w:t>Registro y seguimiento de incidentes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TheHive</w:t>
            </w:r>
            <w:r>
              <w:t xml:space="preserve"> + </w:t>
            </w:r>
            <w:r>
              <w:rPr>
                <w:b/>
              </w:rPr>
              <w:t>Cortex</w:t>
            </w:r>
          </w:p>
        </w:tc>
        <w:tc>
          <w:tcPr>
            <w:tcW w:type="dxa" w:w="3216"/>
          </w:tcPr>
          <w:p>
            <w:r/>
            <w:r>
              <w:t>Gestión de incidentes y análisis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Volatility</w:t>
            </w:r>
          </w:p>
        </w:tc>
        <w:tc>
          <w:tcPr>
            <w:tcW w:type="dxa" w:w="3216"/>
          </w:tcPr>
          <w:p>
            <w:r/>
            <w:r>
              <w:t>Análisis forense de memoria (RS-03)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Autopsy / FTK Imager</w:t>
            </w:r>
          </w:p>
        </w:tc>
        <w:tc>
          <w:tcPr>
            <w:tcW w:type="dxa" w:w="3216"/>
          </w:tcPr>
          <w:p>
            <w:r/>
            <w:r>
              <w:t>Forense de disco y preservación de evidencia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Guake/KeePass</w:t>
            </w:r>
          </w:p>
        </w:tc>
        <w:tc>
          <w:tcPr>
            <w:tcW w:type="dxa" w:w="3216"/>
          </w:tcPr>
          <w:p>
            <w:r/>
            <w:r>
              <w:t>Custodia de credenciales del equipo de respuesta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</w:tbl>
    <w:p>
      <w:pPr>
        <w:pStyle w:val="Heading3"/>
      </w:pPr>
      <w:r>
        <w:rPr>
          <w:color w:val="1F3B63"/>
        </w:rPr>
        <w:t>Recuperar (RC)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Libre/Comercial</w:t>
            </w:r>
          </w:p>
        </w:tc>
      </w:tr>
      <w:tr>
        <w:tc>
          <w:tcPr>
            <w:tcW w:type="dxa" w:w="3216"/>
          </w:tcPr>
          <w:p>
            <w:r/>
            <w:r>
              <w:t>Entornos de recuperación / sitio alternativo</w:t>
            </w:r>
          </w:p>
        </w:tc>
        <w:tc>
          <w:tcPr>
            <w:tcW w:type="dxa" w:w="3216"/>
          </w:tcPr>
          <w:p>
            <w:r/>
            <w:r>
              <w:t>DRP (RC-02)</w:t>
            </w:r>
          </w:p>
        </w:tc>
        <w:tc>
          <w:tcPr>
            <w:tcW w:type="dxa" w:w="3216"/>
          </w:tcPr>
          <w:p>
            <w:r/>
            <w:r>
              <w:t>A definir</w:t>
            </w:r>
          </w:p>
        </w:tc>
      </w:tr>
      <w:tr>
        <w:tc>
          <w:tcPr>
            <w:tcW w:type="dxa" w:w="3216"/>
          </w:tcPr>
          <w:p>
            <w:r/>
            <w:r>
              <w:t>Simulacros de continuidad (documentados)</w:t>
            </w:r>
          </w:p>
        </w:tc>
        <w:tc>
          <w:tcPr>
            <w:tcW w:type="dxa" w:w="3216"/>
          </w:tcPr>
          <w:p>
            <w:r/>
            <w:r>
              <w:t>Pruebas BCP/DRP</w:t>
            </w:r>
          </w:p>
        </w:tc>
        <w:tc>
          <w:tcPr>
            <w:tcW w:type="dxa" w:w="3216"/>
          </w:tcPr>
          <w:p>
            <w:r/>
            <w:r>
              <w:t>Proceso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Rsync/Restic/BorgBackup</w:t>
            </w:r>
          </w:p>
        </w:tc>
        <w:tc>
          <w:tcPr>
            <w:tcW w:type="dxa" w:w="3216"/>
          </w:tcPr>
          <w:p>
            <w:r/>
            <w:r>
              <w:t>Respaldos versionados y cifrados</w:t>
            </w:r>
          </w:p>
        </w:tc>
        <w:tc>
          <w:tcPr>
            <w:tcW w:type="dxa" w:w="3216"/>
          </w:tcPr>
          <w:p>
            <w:r/>
            <w:r>
              <w:t>Libre</w:t>
            </w:r>
          </w:p>
        </w:tc>
      </w:tr>
      <w:tr>
        <w:tc>
          <w:tcPr>
            <w:tcW w:type="dxa" w:w="3216"/>
          </w:tcPr>
          <w:p>
            <w:r/>
            <w:r>
              <w:t>Comunicación de crisis (plantillas + sistema de avisos)</w:t>
            </w:r>
          </w:p>
        </w:tc>
        <w:tc>
          <w:tcPr>
            <w:tcW w:type="dxa" w:w="3216"/>
          </w:tcPr>
          <w:p>
            <w:r/>
            <w:r>
              <w:t>RC-03</w:t>
            </w:r>
          </w:p>
        </w:tc>
        <w:tc>
          <w:tcPr>
            <w:tcW w:type="dxa" w:w="3216"/>
          </w:tcPr>
          <w:p>
            <w:r/>
            <w:r>
              <w:t>Proceso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2. Herramientas ofimáticas para producir los entregables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Tarea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Herramienta sugerida</w:t>
            </w:r>
          </w:p>
        </w:tc>
      </w:tr>
      <w:tr>
        <w:tc>
          <w:tcPr>
            <w:tcW w:type="dxa" w:w="4824"/>
          </w:tcPr>
          <w:p>
            <w:r/>
            <w:r>
              <w:t xml:space="preserve">Editar plantillas </w:t>
            </w:r>
            <w:r>
              <w:rPr>
                <w:rFonts w:ascii="Consolas" w:hAnsi="Consolas"/>
                <w:sz w:val="20"/>
              </w:rPr>
              <w:t>.md</w:t>
            </w:r>
          </w:p>
        </w:tc>
        <w:tc>
          <w:tcPr>
            <w:tcW w:type="dxa" w:w="4824"/>
          </w:tcPr>
          <w:p>
            <w:r/>
            <w:r>
              <w:t>VS Code, Notepad++, Typora, Obsidian</w:t>
            </w:r>
          </w:p>
        </w:tc>
      </w:tr>
      <w:tr>
        <w:tc>
          <w:tcPr>
            <w:tcW w:type="dxa" w:w="4824"/>
          </w:tcPr>
          <w:p>
            <w:r/>
            <w:r>
              <w:t xml:space="preserve">Convertir </w:t>
            </w:r>
            <w:r>
              <w:rPr>
                <w:rFonts w:ascii="Consolas" w:hAnsi="Consolas"/>
                <w:sz w:val="20"/>
              </w:rPr>
              <w:t>.md</w:t>
            </w:r>
            <w:r>
              <w:t xml:space="preserve"> a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03-HERRAMIENTAS/md_a_docx.py</w:t>
            </w:r>
            <w:r>
              <w:t xml:space="preserve"> (python-docx) o Pandoc</w:t>
            </w:r>
          </w:p>
        </w:tc>
      </w:tr>
      <w:tr>
        <w:tc>
          <w:tcPr>
            <w:tcW w:type="dxa" w:w="4824"/>
          </w:tcPr>
          <w:p>
            <w:r/>
            <w:r>
              <w:t>Planillas de cálculo (riesgos, SoA, inventario)</w:t>
            </w:r>
          </w:p>
        </w:tc>
        <w:tc>
          <w:tcPr>
            <w:tcW w:type="dxa" w:w="4824"/>
          </w:tcPr>
          <w:p>
            <w:r/>
            <w:r>
              <w:t>Excel / LibreOffice Calc; plantilla oficial Agesic (.xlsx)</w:t>
            </w:r>
          </w:p>
        </w:tc>
      </w:tr>
      <w:tr>
        <w:tc>
          <w:tcPr>
            <w:tcW w:type="dxa" w:w="4824"/>
          </w:tcPr>
          <w:p>
            <w:r/>
            <w:r>
              <w:t>Diagramas (red, organigrama, procesos)</w:t>
            </w:r>
          </w:p>
        </w:tc>
        <w:tc>
          <w:tcPr>
            <w:tcW w:type="dxa" w:w="4824"/>
          </w:tcPr>
          <w:p>
            <w:r/>
            <w:r>
              <w:t>draw.io, Visio, LibreOffice Draw</w:t>
            </w:r>
          </w:p>
        </w:tc>
      </w:tr>
      <w:tr>
        <w:tc>
          <w:tcPr>
            <w:tcW w:type="dxa" w:w="4824"/>
          </w:tcPr>
          <w:p>
            <w:r/>
            <w:r>
              <w:t>Actas y firmas</w:t>
            </w:r>
          </w:p>
        </w:tc>
        <w:tc>
          <w:tcPr>
            <w:tcW w:type="dxa" w:w="4824"/>
          </w:tcPr>
          <w:p>
            <w:r/>
            <w:r>
              <w:t>Circuito documental del Banco (firma digital)</w:t>
            </w:r>
          </w:p>
        </w:tc>
      </w:tr>
    </w:tbl>
    <w:p>
      <w:pPr>
        <w:pStyle w:val="Heading2"/>
      </w:pPr>
      <w:r>
        <w:rPr>
          <w:color w:val="1F3B63"/>
        </w:rPr>
        <w:t>3. Buenas prácticas al elegir herramientas</w:t>
      </w:r>
    </w:p>
    <w:p>
      <w:pPr>
        <w:pStyle w:val="ListNumber"/>
      </w:pPr>
      <w:r>
        <w:rPr>
          <w:b/>
        </w:rPr>
        <w:t>Priorizar por riesgo:</w:t>
      </w:r>
      <w:r>
        <w:t xml:space="preserve"> primero lo que mitiga los riesgos más altos del Banco (accesos, respaldos, malware, vulnerabilidades).</w:t>
      </w:r>
    </w:p>
    <w:p>
      <w:pPr>
        <w:pStyle w:val="ListNumber"/>
      </w:pPr>
      <w:r>
        <w:rPr>
          <w:b/>
        </w:rPr>
        <w:t>Pocas herramientas, bien gestionadas:</w:t>
      </w:r>
      <w:r>
        <w:t xml:space="preserve"> mejor consolidar (ej. Wazuh para logs+EDR) que acumular soluciones sin operar.</w:t>
      </w:r>
    </w:p>
    <w:p>
      <w:pPr>
        <w:pStyle w:val="ListNumber"/>
      </w:pPr>
      <w:r>
        <w:rPr>
          <w:b/>
        </w:rPr>
        <w:t>Probar antes de comprar:</w:t>
      </w:r>
      <w:r>
        <w:t xml:space="preserve"> hacer pilotos en ambiente de pruebas.</w:t>
      </w:r>
    </w:p>
    <w:p>
      <w:pPr>
        <w:pStyle w:val="ListNumber"/>
      </w:pPr>
      <w:r>
        <w:rPr>
          <w:b/>
        </w:rPr>
        <w:t>Verificar soporte y actualizaciones:</w:t>
      </w:r>
      <w:r>
        <w:t xml:space="preserve"> las herramientas de seguridad sin parches son un riesgo.</w:t>
      </w:r>
    </w:p>
    <w:p>
      <w:pPr>
        <w:pStyle w:val="ListNumber"/>
      </w:pPr>
      <w:r>
        <w:rPr>
          <w:b/>
        </w:rPr>
        <w:t>Registrar decisiones:</w:t>
      </w:r>
      <w:r>
        <w:t xml:space="preserve"> cada herramienta seleccionada queda documentada en el plan de tratamiento (ID-04) y en el inventario de activos (ID-01).</w:t>
      </w:r>
    </w:p>
    <w:p>
      <w:pPr>
        <w:pStyle w:val="Heading2"/>
      </w:pPr>
      <w:r>
        <w:rPr>
          <w:color w:val="1F3B63"/>
        </w:rPr>
        <w:t>4. Enlaces oficiales de referencia</w:t>
      </w:r>
    </w:p>
    <w:p>
      <w:pPr>
        <w:pStyle w:val="ListBullet"/>
      </w:pPr>
      <w:r>
        <w:t xml:space="preserve">Agesic – Guías del Marco de Ciberseguridad 5.0 (incluye planilla SGSI xlsx): </w:t>
      </w:r>
      <w:r>
        <w:rPr>
          <w:rFonts w:ascii="Consolas" w:hAnsi="Consolas"/>
          <w:sz w:val="20"/>
        </w:rPr>
        <w:t>https://www.gub.uy/agencia-gobierno-electronico-sociedad-informacion-conocimiento/comunicacion/publicaciones/guias-sobre-marco-ciberseguridad</w:t>
      </w:r>
    </w:p>
    <w:p>
      <w:pPr>
        <w:pStyle w:val="ListBullet"/>
      </w:pPr>
      <w:r>
        <w:t xml:space="preserve">URCDP – Sistema de gestión en línea (inscripción de bases, DPD): </w:t>
      </w:r>
      <w:r>
        <w:rPr>
          <w:rFonts w:ascii="Consolas" w:hAnsi="Consolas"/>
          <w:sz w:val="20"/>
        </w:rPr>
        <w:t>https://www.gub.uy/unidad-reguladora-control-datos-personales</w:t>
      </w:r>
    </w:p>
    <w:p>
      <w:pPr>
        <w:pStyle w:val="ListBullet"/>
      </w:pPr>
      <w:r>
        <w:t xml:space="preserve">BCU – Recopilación de Normas y circulares: </w:t>
      </w:r>
      <w:r>
        <w:rPr>
          <w:rFonts w:ascii="Consolas" w:hAnsi="Consolas"/>
          <w:sz w:val="20"/>
        </w:rPr>
        <w:t>https://www.bcu.gub.uy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