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RELEV-09 · Seguimiento de compromisos y cierre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r>
        <w:rPr>
          <w:b/>
        </w:rPr>
        <w:t>Verificar contra el organigrama vigente:</w:t>
      </w:r>
      <w:r>
        <w:t xml:space="preserve"> los nombres y cargos mencionados en este módulo corresponden al organigrama de abril 2026. Antes de usarlos en un correo, una minuta o un informe oficial, confirmalos contra la versión vigente que publica el Banco: los cargos rotan y los nombres cambian sin aviso.</w:t>
      </w:r>
    </w:p>
    <w:p>
      <w:pPr>
        <w:ind w:left="432"/>
      </w:pPr>
      <w:r>
        <w:rPr>
          <w:i/>
          <w:color w:val="606060"/>
        </w:rPr>
        <w:t>**Función del MCU 5.0:** el seguimiento ejecuta la función ID (Identificar) en su fase de maduración y alimenta la gobernanza GV: sin compromisos cerrados, el inventario de activos (ID.AM), la evaluación de riesgos (ID.RA) y el plan de tratamiento (ID-04) quedan en papel.</w:t>
      </w:r>
    </w:p>
    <w:p>
      <w:pPr>
        <w:ind w:left="432"/>
      </w:pPr>
      <w:r>
        <w:rPr>
          <w:i/>
          <w:color w:val="606060"/>
        </w:rPr>
        <w:t>**ISO/IEC 27001:** las cláusulas 9 y 10 (evaluación del desempeño y mejora) exigen verificar que lo prometido se cumple: un plan de tratamiento sin seguimiento es una declaración de intenciones, no un control.</w:t>
      </w:r>
    </w:p>
    <w:p>
      <w:pPr>
        <w:ind w:left="432"/>
      </w:pPr>
      <w:r>
        <w:rPr>
          <w:i/>
          <w:color w:val="606060"/>
        </w:rPr>
        <w:t>**BCU:** el EMG y la Circular 2227 (riesgo operacional) piden evidencia de gestión: el seguimiento de compromisos es la prueba de que los hallazgos se convierten en acciones y no quedan en la minuta.</w:t>
      </w:r>
    </w:p>
    <w:p>
      <w:pPr>
        <w:ind w:left="432"/>
      </w:pPr>
      <w:r>
        <w:rPr>
          <w:i/>
          <w:color w:val="606060"/>
        </w:rPr>
        <w:t>**URCDP:** los compromisos sobre datos personales (Documento de Seguridad, notificaciones de vulneración, EIPD) deben poder rastrearse: la planilla de compromisos es ese rastro.</w:t>
      </w:r>
    </w:p>
    <w:p>
      <w:pPr>
        <w:ind w:left="432"/>
      </w:pPr>
      <w:r>
        <w:rPr>
          <w:i/>
          <w:color w:val="606060"/>
        </w:rPr>
        <w:t>**Nivel del curso:** 🟢 Descubrir · 🟡 **Practicar**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El seguimiento es donde se gana o se pierde el relevamiento</w:t>
      </w:r>
    </w:p>
    <w:p>
      <w:r>
        <w:t xml:space="preserve">La reunión sin seguimiento es café: dura una hora, deja buena sensación y a los dos días nadie recuerda qué se dijo. El relevamiento no termina cuando se apaga el micrófono: termina cuando </w:t>
      </w:r>
      <w:r>
        <w:rPr>
          <w:b/>
        </w:rPr>
        <w:t>cada compromiso asumido en la reunión está cumplido, con su evidencia y registrado en el documento del kit</w:t>
      </w:r>
      <w:r>
        <w:t>.</w:t>
      </w:r>
    </w:p>
    <w:p>
      <w:r>
        <w:t>Pensalo así: en la reunión vos prometiste un marco normativo y el área prometió un dato. Si ninguna de las dos promesas se persigue, no hay intercambio: hay una charla. Y de las charlas no salen inventarios de activos, ni ROPA, ni matrices de riesgo.</w:t>
      </w:r>
    </w:p>
    <w:p>
      <w:pPr>
        <w:pStyle w:val="Heading3"/>
      </w:pPr>
      <w:r>
        <w:rPr>
          <w:color w:val="1F3B63"/>
        </w:rPr>
        <w:t>1.1 La cadena que convierte charlas en documentos</w:t>
      </w:r>
    </w:p>
    <w:p>
      <w:r>
        <w:t xml:space="preserve">Cada eslabón se alimenta del anterior. El eslabón que más se rompe en los proyectos reales es el que va de </w:t>
      </w:r>
      <w:r>
        <w:rPr>
          <w:b/>
        </w:rPr>
        <w:t>compromisos</w:t>
      </w:r>
      <w:r>
        <w:t xml:space="preserve"> a </w:t>
      </w:r>
      <w:r>
        <w:rPr>
          <w:b/>
        </w:rPr>
        <w:t>evidencia</w:t>
      </w:r>
      <w:r>
        <w:t>: se anota todo, se agradece todo, y después no se vuelve a preguntar. Tu trabajo en este módulo es volver a preguntar, siempre por escrito, hasta que la evidencia exista.</w:t>
      </w:r>
    </w:p>
    <w:p>
      <w:pPr>
        <w:pStyle w:val="Heading3"/>
      </w:pPr>
      <w:r>
        <w:rPr>
          <w:color w:val="1F3B63"/>
        </w:rPr>
        <w:t>1.2 Quién hace el seguimiento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Frecuencia</w:t>
            </w:r>
          </w:p>
        </w:tc>
      </w:tr>
      <w:tr>
        <w:tc>
          <w:tcPr>
            <w:tcW w:type="dxa" w:w="3216"/>
          </w:tcPr>
          <w:p>
            <w:r/>
            <w:r>
              <w:t>Dueño del compromiso (el área)</w:t>
            </w:r>
          </w:p>
        </w:tc>
        <w:tc>
          <w:tcPr>
            <w:tcW w:type="dxa" w:w="3216"/>
          </w:tcPr>
          <w:p>
            <w:r/>
            <w:r>
              <w:t>Entrega la evidencia en la fecha comprometida.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t>RSI (vos)</w:t>
            </w:r>
          </w:p>
        </w:tc>
        <w:tc>
          <w:tcPr>
            <w:tcW w:type="dxa" w:w="3216"/>
          </w:tcPr>
          <w:p>
            <w:r/>
            <w:r>
              <w:t>Lleva la planilla, recuerda, persigue y registra.</w:t>
            </w:r>
          </w:p>
        </w:tc>
        <w:tc>
          <w:tcPr>
            <w:tcW w:type="dxa" w:w="3216"/>
          </w:tcPr>
          <w:p>
            <w:r/>
            <w:r>
              <w:t>Semanal</w:t>
            </w:r>
          </w:p>
        </w:tc>
      </w:tr>
      <w:tr>
        <w:tc>
          <w:tcPr>
            <w:tcW w:type="dxa" w:w="3216"/>
          </w:tcPr>
          <w:p>
            <w:r/>
            <w:r>
              <w:t>Sponsor del área</w:t>
            </w:r>
          </w:p>
        </w:tc>
        <w:tc>
          <w:tcPr>
            <w:tcW w:type="dxa" w:w="3216"/>
          </w:tcPr>
          <w:p>
            <w:r/>
            <w:r>
              <w:t>Desbloquea, habilita y refuerza los pedidos formales.</w:t>
            </w:r>
          </w:p>
        </w:tc>
        <w:tc>
          <w:tcPr>
            <w:tcW w:type="dxa" w:w="3216"/>
          </w:tcPr>
          <w:p>
            <w:r/>
            <w:r>
              <w:t>Quincenal</w:t>
            </w:r>
          </w:p>
        </w:tc>
      </w:tr>
      <w:tr>
        <w:tc>
          <w:tcPr>
            <w:tcW w:type="dxa" w:w="3216"/>
          </w:tcPr>
          <w:p>
            <w:r/>
            <w:r>
              <w:t>Gerencia General / Comité</w:t>
            </w:r>
          </w:p>
        </w:tc>
        <w:tc>
          <w:tcPr>
            <w:tcW w:type="dxa" w:w="3216"/>
          </w:tcPr>
          <w:p>
            <w:r/>
            <w:r>
              <w:t>Recibe informes y escalamientos que no se resolvieron en el área.</w:t>
            </w:r>
          </w:p>
        </w:tc>
        <w:tc>
          <w:tcPr>
            <w:tcW w:type="dxa" w:w="3216"/>
          </w:tcPr>
          <w:p>
            <w:r/>
            <w:r>
              <w:t>Mensual / por excepción</w:t>
            </w:r>
          </w:p>
        </w:tc>
      </w:tr>
    </w:tbl>
    <w:p>
      <w:r>
        <w:t xml:space="preserve">El seguimiento </w:t>
      </w:r>
      <w:r>
        <w:rPr>
          <w:b/>
        </w:rPr>
        <w:t>no es tarea delegable de un día para el otro</w:t>
      </w:r>
      <w:r>
        <w:t>: si lo delegás sin planilla ni criterio, la primera semana todo anda y la tercera el proyecto está dormido. El seguimiento es un rol, no un trámite.</w:t>
      </w:r>
    </w:p>
    <w:p>
      <w:pPr>
        <w:pStyle w:val="Heading3"/>
      </w:pPr>
      <w:r>
        <w:rPr>
          <w:color w:val="1F3B63"/>
        </w:rPr>
        <w:t>1.3 Cuánto cuesta no hacer seguimiento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pasa si no seguís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Consecuencia concreta</w:t>
            </w:r>
          </w:p>
        </w:tc>
      </w:tr>
      <w:tr>
        <w:tc>
          <w:tcPr>
            <w:tcW w:type="dxa" w:w="4824"/>
          </w:tcPr>
          <w:p>
            <w:r/>
            <w:r>
              <w:t>El área no entrega</w:t>
            </w:r>
          </w:p>
        </w:tc>
        <w:tc>
          <w:tcPr>
            <w:tcW w:type="dxa" w:w="4824"/>
          </w:tcPr>
          <w:p>
            <w:r/>
            <w:r>
              <w:t>No tenés la evidencia que sustenta ID-01, ID-03 o el ROPA.</w:t>
            </w:r>
          </w:p>
        </w:tc>
      </w:tr>
      <w:tr>
        <w:tc>
          <w:tcPr>
            <w:tcW w:type="dxa" w:w="4824"/>
          </w:tcPr>
          <w:p>
            <w:r/>
            <w:r>
              <w:t>El área no ve avance</w:t>
            </w:r>
          </w:p>
        </w:tc>
        <w:tc>
          <w:tcPr>
            <w:tcW w:type="dxa" w:w="4824"/>
          </w:tcPr>
          <w:p>
            <w:r/>
            <w:r>
              <w:t>Desmotiva: nadie vuelve a poner fechas si el proyecto "no camina".</w:t>
            </w:r>
          </w:p>
        </w:tc>
      </w:tr>
      <w:tr>
        <w:tc>
          <w:tcPr>
            <w:tcW w:type="dxa" w:w="4824"/>
          </w:tcPr>
          <w:p>
            <w:r/>
            <w:r>
              <w:t>Perdés el hilo</w:t>
            </w:r>
          </w:p>
        </w:tc>
        <w:tc>
          <w:tcPr>
            <w:tcW w:type="dxa" w:w="4824"/>
          </w:tcPr>
          <w:p>
            <w:r/>
            <w:r>
              <w:t>Rehacés preguntas ya hechas; el área percibe desorden y lo reporta a su jerarquía.</w:t>
            </w:r>
          </w:p>
        </w:tc>
      </w:tr>
      <w:tr>
        <w:tc>
          <w:tcPr>
            <w:tcW w:type="dxa" w:w="4824"/>
          </w:tcPr>
          <w:p>
            <w:r/>
            <w:r>
              <w:t>No hay cierre</w:t>
            </w:r>
          </w:p>
        </w:tc>
        <w:tc>
          <w:tcPr>
            <w:tcW w:type="dxa" w:w="4824"/>
          </w:tcPr>
          <w:p>
            <w:r/>
            <w:r>
              <w:t>El informe final queda vacío y el Comité pregunta qué pasó con el plan de 18 meses.</w:t>
            </w:r>
          </w:p>
        </w:tc>
      </w:tr>
      <w:tr>
        <w:tc>
          <w:tcPr>
            <w:tcW w:type="dxa" w:w="4824"/>
          </w:tcPr>
          <w:p>
            <w:r/>
            <w:r>
              <w:t>Se quema la relación</w:t>
            </w:r>
          </w:p>
        </w:tc>
        <w:tc>
          <w:tcPr>
            <w:tcW w:type="dxa" w:w="4824"/>
          </w:tcPr>
          <w:p>
            <w:r/>
            <w:r>
              <w:t>La segunda vuelta (RELEV-11, mantenimiento) te va a costar el doble.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La planilla de compromisos</w:t>
      </w:r>
    </w:p>
    <w:p>
      <w:r>
        <w:t xml:space="preserve">La planilla de compromisos es el </w:t>
      </w:r>
      <w:r>
        <w:rPr>
          <w:b/>
        </w:rPr>
        <w:t>único lugar donde duermen las promesas</w:t>
      </w:r>
      <w:r>
        <w:t>. Si un compromiso no está en la planilla, no existe. Esta es la plantilla mínima:</w:t>
      </w:r>
    </w:p>
    <w:p>
      <w:r>
        <w:t>Reglas de oro de la planilla:</w:t>
      </w:r>
    </w:p>
    <w:p>
      <w:pPr>
        <w:pStyle w:val="ListNumber"/>
      </w:pPr>
      <w:r>
        <w:rPr>
          <w:b/>
        </w:rPr>
        <w:t>Una sola planilla.</w:t>
      </w:r>
      <w:r>
        <w:t xml:space="preserve"> No existan la "planilla de María" y la "planilla del proyecto". Una fuente de verdad, congelada cada mes para el informe.</w:t>
      </w:r>
    </w:p>
    <w:p>
      <w:pPr>
        <w:pStyle w:val="ListNumber"/>
      </w:pPr>
      <w:r>
        <w:rPr>
          <w:b/>
        </w:rPr>
        <w:t>Un solo dueño por compromiso.</w:t>
      </w:r>
      <w:r>
        <w:t xml:space="preserve"> Si el compromiso es del área, el responsable es una persona nombrada, no "el departamento".</w:t>
      </w:r>
    </w:p>
    <w:p>
      <w:pPr>
        <w:pStyle w:val="ListNumber"/>
      </w:pPr>
      <w:r>
        <w:rPr>
          <w:b/>
        </w:rPr>
        <w:t>Estado con evidencia, no con fe.</w:t>
      </w:r>
      <w:r>
        <w:t xml:space="preserve"> "Cerrado" significa: recibí el documento, lo revisé y quedó registrado en el kit. Si no recibiste nada, el estado es "Pendiente de evidencia" o "Vencido".</w:t>
      </w:r>
    </w:p>
    <w:p>
      <w:pPr>
        <w:pStyle w:val="ListNumber"/>
      </w:pPr>
      <w:r>
        <w:rPr>
          <w:b/>
        </w:rPr>
        <w:t>Fecha comprometida negociada.</w:t>
      </w:r>
      <w:r>
        <w:t xml:space="preserve"> La fecha no la imponés vos: la negocia el área con vos y se registra.</w:t>
      </w:r>
    </w:p>
    <w:p>
      <w:pPr>
        <w:pStyle w:val="ListNumber"/>
      </w:pPr>
      <w:r>
        <w:rPr>
          <w:b/>
        </w:rPr>
        <w:t>Seguimiento anotado.</w:t>
      </w:r>
      <w:r>
        <w:t xml:space="preserve"> Cada recordatorio, llamada y escalada queda registrado en la última columna. Es tu defensa cuando alguien diga "nunca me avisaron".</w:t>
      </w:r>
    </w:p>
    <w:p>
      <w:pPr>
        <w:pStyle w:val="Heading3"/>
      </w:pPr>
      <w:r>
        <w:rPr>
          <w:color w:val="1F3B63"/>
        </w:rPr>
        <w:t>2.1 Estados sugeridos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Cuándo se usa</w:t>
            </w:r>
          </w:p>
        </w:tc>
      </w:tr>
      <w:tr>
        <w:tc>
          <w:tcPr>
            <w:tcW w:type="dxa" w:w="3216"/>
          </w:tcPr>
          <w:p>
            <w:r/>
            <w:r>
              <w:t>Abierto</w:t>
            </w:r>
          </w:p>
        </w:tc>
        <w:tc>
          <w:tcPr>
            <w:tcW w:type="dxa" w:w="3216"/>
          </w:tcPr>
          <w:p>
            <w:r/>
            <w:r>
              <w:t>Compromiso aceptado, fecha dentro de plazo.</w:t>
            </w:r>
          </w:p>
        </w:tc>
        <w:tc>
          <w:tcPr>
            <w:tcW w:type="dxa" w:w="3216"/>
          </w:tcPr>
          <w:p>
            <w:r/>
            <w:r>
              <w:t>Recién asumido en la minuta.</w:t>
            </w:r>
          </w:p>
        </w:tc>
      </w:tr>
      <w:tr>
        <w:tc>
          <w:tcPr>
            <w:tcW w:type="dxa" w:w="3216"/>
          </w:tcPr>
          <w:p>
            <w:r/>
            <w:r>
              <w:t>En curso</w:t>
            </w:r>
          </w:p>
        </w:tc>
        <w:tc>
          <w:tcPr>
            <w:tcW w:type="dxa" w:w="3216"/>
          </w:tcPr>
          <w:p>
            <w:r/>
            <w:r>
              <w:t>El área ya trabaja en la entrega.</w:t>
            </w:r>
          </w:p>
        </w:tc>
        <w:tc>
          <w:tcPr>
            <w:tcW w:type="dxa" w:w="3216"/>
          </w:tcPr>
          <w:p>
            <w:r/>
            <w:r>
              <w:t>Confirmado por el dueño o por avance parcial.</w:t>
            </w:r>
          </w:p>
        </w:tc>
      </w:tr>
      <w:tr>
        <w:tc>
          <w:tcPr>
            <w:tcW w:type="dxa" w:w="3216"/>
          </w:tcPr>
          <w:p>
            <w:r/>
            <w:r>
              <w:t>Pendiente de evidencia</w:t>
            </w:r>
          </w:p>
        </w:tc>
        <w:tc>
          <w:tcPr>
            <w:tcW w:type="dxa" w:w="3216"/>
          </w:tcPr>
          <w:p>
            <w:r/>
            <w:r>
              <w:t>El área dice "ya está", pero no mandó el documento.</w:t>
            </w:r>
          </w:p>
        </w:tc>
        <w:tc>
          <w:tcPr>
            <w:tcW w:type="dxa" w:w="3216"/>
          </w:tcPr>
          <w:p>
            <w:r/>
            <w:r>
              <w:t>Mientras no exista el archivo o el dato.</w:t>
            </w:r>
          </w:p>
        </w:tc>
      </w:tr>
      <w:tr>
        <w:tc>
          <w:tcPr>
            <w:tcW w:type="dxa" w:w="3216"/>
          </w:tcPr>
          <w:p>
            <w:r/>
            <w:r>
              <w:t>Vencido</w:t>
            </w:r>
          </w:p>
        </w:tc>
        <w:tc>
          <w:tcPr>
            <w:tcW w:type="dxa" w:w="3216"/>
          </w:tcPr>
          <w:p>
            <w:r/>
            <w:r>
              <w:t>Pasó la fecha comprometida sin entrega.</w:t>
            </w:r>
          </w:p>
        </w:tc>
        <w:tc>
          <w:tcPr>
            <w:tcW w:type="dxa" w:w="3216"/>
          </w:tcPr>
          <w:p>
            <w:r/>
            <w:r>
              <w:t>Automático el día después de la fecha.</w:t>
            </w:r>
          </w:p>
        </w:tc>
      </w:tr>
      <w:tr>
        <w:tc>
          <w:tcPr>
            <w:tcW w:type="dxa" w:w="3216"/>
          </w:tcPr>
          <w:p>
            <w:r/>
            <w:r>
              <w:t>Escalado</w:t>
            </w:r>
          </w:p>
        </w:tc>
        <w:tc>
          <w:tcPr>
            <w:tcW w:type="dxa" w:w="3216"/>
          </w:tcPr>
          <w:p>
            <w:r/>
            <w:r>
              <w:t>Subió al sponsor o a la jerarquía.</w:t>
            </w:r>
          </w:p>
        </w:tc>
        <w:tc>
          <w:tcPr>
            <w:tcW w:type="dxa" w:w="3216"/>
          </w:tcPr>
          <w:p>
            <w:r/>
            <w:r>
              <w:t>Aplicaste la regla de escalamiento (sección 5).</w:t>
            </w:r>
          </w:p>
        </w:tc>
      </w:tr>
      <w:tr>
        <w:tc>
          <w:tcPr>
            <w:tcW w:type="dxa" w:w="3216"/>
          </w:tcPr>
          <w:p>
            <w:r/>
            <w:r>
              <w:t>Cerrado</w:t>
            </w:r>
          </w:p>
        </w:tc>
        <w:tc>
          <w:tcPr>
            <w:tcW w:type="dxa" w:w="3216"/>
          </w:tcPr>
          <w:p>
            <w:r/>
            <w:r>
              <w:t>Evidencia recibida, revisada y registrada en el kit.</w:t>
            </w:r>
          </w:p>
        </w:tc>
        <w:tc>
          <w:tcPr>
            <w:tcW w:type="dxa" w:w="3216"/>
          </w:tcPr>
          <w:p>
            <w:r/>
            <w:r>
              <w:t>Solo con evidencia real.</w:t>
            </w:r>
          </w:p>
        </w:tc>
      </w:tr>
      <w:tr>
        <w:tc>
          <w:tcPr>
            <w:tcW w:type="dxa" w:w="3216"/>
          </w:tcPr>
          <w:p>
            <w:r/>
            <w:r>
              <w:t>Cancelado</w:t>
            </w:r>
          </w:p>
        </w:tc>
        <w:tc>
          <w:tcPr>
            <w:tcW w:type="dxa" w:w="3216"/>
          </w:tcPr>
          <w:p>
            <w:r/>
            <w:r>
              <w:t>El pedido quedó sin efecto con causa documentada.</w:t>
            </w:r>
          </w:p>
        </w:tc>
        <w:tc>
          <w:tcPr>
            <w:tcW w:type="dxa" w:w="3216"/>
          </w:tcPr>
          <w:p>
            <w:r/>
            <w:r>
              <w:t>El compromiso era innecesario o cambió el alcance.</w:t>
            </w:r>
          </w:p>
        </w:tc>
      </w:tr>
    </w:tbl>
    <w:p>
      <w:pPr>
        <w:ind w:left="432"/>
      </w:pPr>
      <w:r>
        <w:rPr>
          <w:i/>
          <w:color w:val="606060"/>
        </w:rPr>
        <w:t>**Consejo:** definí estados con tus aliados (sponsor, Comité) al inicio del proyecto. Si el Comité sabe qué significa "Escalado", la escalada deja de sonar a fracaso y pasa a sonar a transparencia.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Rutinas de seguimiento</w:t>
      </w:r>
    </w:p>
    <w:p>
      <w:r>
        <w:t>El seguimiento no se improvisa: se programa. Tres rutinas fijas, como las comidas del día:</w:t>
      </w:r>
    </w:p>
    <w:p>
      <w:pPr>
        <w:pStyle w:val="Heading3"/>
      </w:pPr>
      <w:r>
        <w:rPr>
          <w:color w:val="1F3B63"/>
        </w:rPr>
        <w:t>3.1 Revisión semanal de pendientes (vos, solo, 30 minutos)</w:t>
      </w:r>
    </w:p>
    <w:p>
      <w:r>
        <w:t>Los lunes, 30 minutos, con la planilla abierta: avanzar estados, marcar vencidos, preparar los correos de la semana. Si esta cita no está en tu agenda, no pasa.</w:t>
      </w:r>
    </w:p>
    <w:p>
      <w:pPr>
        <w:pStyle w:val="Heading3"/>
      </w:pPr>
      <w:r>
        <w:rPr>
          <w:color w:val="1F3B63"/>
        </w:rPr>
        <w:t>3.2 Revisión quincenal con el sponsor (15 a 20 minutos)</w:t>
      </w:r>
    </w:p>
    <w:p>
      <w:r>
        <w:t xml:space="preserve">Cada dos semanas, reunión breve con el sponsor del área: qué se venció, qué se escaló, qué se necesita desbloquear. No es una reunión de trabajo: es una </w:t>
      </w:r>
      <w:r>
        <w:rPr>
          <w:b/>
        </w:rPr>
        <w:t>reunión de despeje</w:t>
      </w:r>
      <w:r>
        <w:t>. Vas con la planilla filtrada por pendientes, no con la planilla entera.</w:t>
      </w:r>
    </w:p>
    <w:p>
      <w:pPr>
        <w:pStyle w:val="Heading3"/>
      </w:pPr>
      <w:r>
        <w:rPr>
          <w:color w:val="1F3B63"/>
        </w:rPr>
        <w:t>3.3 Informe de avance mensual (alimenta GV-06)</w:t>
      </w:r>
    </w:p>
    <w:p>
      <w:r>
        <w:t xml:space="preserve">Cada mes se emite el informe de avance que se sube a la carpeta del proyecto y que alimenta el </w:t>
      </w:r>
      <w:r>
        <w:rPr>
          <w:b/>
        </w:rPr>
        <w:t>Informe semestral del RSI a Dirección (GV-06)</w:t>
      </w:r>
      <w:r>
        <w:t>. Estructura mínima del informe:</w:t>
      </w:r>
    </w:p>
    <w:p>
      <w:r>
        <w:t>El informe mensual se envía con copia al sponsor y al Comité de Seguridad: es tu evidencia de gestión y tu mejor argumento de presupuesto futuro.</w:t>
      </w:r>
    </w:p>
    <w:p>
      <w:pPr>
        <w:pStyle w:val="Heading3"/>
      </w:pPr>
      <w:r>
        <w:rPr>
          <w:color w:val="1F3B63"/>
        </w:rPr>
        <w:t>3.4 Calendario tipo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Día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Rutina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Duración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Participantes</w:t>
            </w:r>
          </w:p>
        </w:tc>
      </w:tr>
      <w:tr>
        <w:tc>
          <w:tcPr>
            <w:tcW w:type="dxa" w:w="2412"/>
          </w:tcPr>
          <w:p>
            <w:r/>
            <w:r>
              <w:t>Lunes 1</w:t>
            </w:r>
          </w:p>
        </w:tc>
        <w:tc>
          <w:tcPr>
            <w:tcW w:type="dxa" w:w="2412"/>
          </w:tcPr>
          <w:p>
            <w:r/>
            <w:r>
              <w:t>Revisión semanal de pendientes</w:t>
            </w:r>
          </w:p>
        </w:tc>
        <w:tc>
          <w:tcPr>
            <w:tcW w:type="dxa" w:w="2412"/>
          </w:tcPr>
          <w:p>
            <w:r/>
            <w:r>
              <w:t>30 min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Lunes 1</w:t>
            </w:r>
          </w:p>
        </w:tc>
        <w:tc>
          <w:tcPr>
            <w:tcW w:type="dxa" w:w="2412"/>
          </w:tcPr>
          <w:p>
            <w:r/>
            <w:r>
              <w:t>Envío de recordatorios de la semana</w:t>
            </w:r>
          </w:p>
        </w:tc>
        <w:tc>
          <w:tcPr>
            <w:tcW w:type="dxa" w:w="2412"/>
          </w:tcPr>
          <w:p>
            <w:r/>
            <w:r>
              <w:t>15 min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Miércoles quincena</w:t>
            </w:r>
          </w:p>
        </w:tc>
        <w:tc>
          <w:tcPr>
            <w:tcW w:type="dxa" w:w="2412"/>
          </w:tcPr>
          <w:p>
            <w:r/>
            <w:r>
              <w:t>Reunión con sponsor</w:t>
            </w:r>
          </w:p>
        </w:tc>
        <w:tc>
          <w:tcPr>
            <w:tcW w:type="dxa" w:w="2412"/>
          </w:tcPr>
          <w:p>
            <w:r/>
            <w:r>
              <w:t>20 min</w:t>
            </w:r>
          </w:p>
        </w:tc>
        <w:tc>
          <w:tcPr>
            <w:tcW w:type="dxa" w:w="2412"/>
          </w:tcPr>
          <w:p>
            <w:r/>
            <w:r>
              <w:t>RSI + Sponsor</w:t>
            </w:r>
          </w:p>
        </w:tc>
      </w:tr>
      <w:tr>
        <w:tc>
          <w:tcPr>
            <w:tcW w:type="dxa" w:w="2412"/>
          </w:tcPr>
          <w:p>
            <w:r/>
            <w:r>
              <w:t>Viernes</w:t>
            </w:r>
          </w:p>
        </w:tc>
        <w:tc>
          <w:tcPr>
            <w:tcW w:type="dxa" w:w="2412"/>
          </w:tcPr>
          <w:p>
            <w:r/>
            <w:r>
              <w:t>Actualización final de la planilla</w:t>
            </w:r>
          </w:p>
        </w:tc>
        <w:tc>
          <w:tcPr>
            <w:tcW w:type="dxa" w:w="2412"/>
          </w:tcPr>
          <w:p>
            <w:r/>
            <w:r>
              <w:t>15 min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Último día hábil</w:t>
            </w:r>
          </w:p>
        </w:tc>
        <w:tc>
          <w:tcPr>
            <w:tcW w:type="dxa" w:w="2412"/>
          </w:tcPr>
          <w:p>
            <w:r/>
            <w:r>
              <w:t>Informe de avance mensual</w:t>
            </w:r>
          </w:p>
        </w:tc>
        <w:tc>
          <w:tcPr>
            <w:tcW w:type="dxa" w:w="2412"/>
          </w:tcPr>
          <w:p>
            <w:r/>
            <w:r>
              <w:t>60 min</w:t>
            </w:r>
          </w:p>
        </w:tc>
        <w:tc>
          <w:tcPr>
            <w:tcW w:type="dxa" w:w="2412"/>
          </w:tcPr>
          <w:p>
            <w:r/>
            <w:r>
              <w:t>RSI -&gt; Comité/sponsor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Cómo perseguir sin molestar</w:t>
      </w:r>
    </w:p>
    <w:p>
      <w:r>
        <w:t xml:space="preserve">Hay una diferencia entre </w:t>
      </w:r>
      <w:r>
        <w:rPr>
          <w:b/>
        </w:rPr>
        <w:t>perseguir</w:t>
      </w:r>
      <w:r>
        <w:t xml:space="preserve"> y </w:t>
      </w:r>
      <w:r>
        <w:rPr>
          <w:b/>
        </w:rPr>
        <w:t>acosar</w:t>
      </w:r>
      <w:r>
        <w:t xml:space="preserve">. Perseguir es recordar con respeto y con plazo. Acosar es preguntar todos los días sin método. La técnica es el </w:t>
      </w:r>
      <w:r>
        <w:rPr>
          <w:b/>
        </w:rPr>
        <w:t>escalonamiento</w:t>
      </w:r>
      <w:r>
        <w:t>: cada etapa tiene su momento, su canal y su tono.</w:t>
      </w:r>
    </w:p>
    <w:p>
      <w:pPr>
        <w:pStyle w:val="Heading3"/>
      </w:pPr>
      <w:r>
        <w:rPr>
          <w:color w:val="1F3B63"/>
        </w:rPr>
        <w:t>4.1 El escalonamiento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Cómo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Quién</w:t>
            </w:r>
          </w:p>
        </w:tc>
      </w:tr>
      <w:tr>
        <w:tc>
          <w:tcPr>
            <w:tcW w:type="dxa" w:w="2412"/>
          </w:tcPr>
          <w:p>
            <w:r/>
            <w:r>
              <w:t>1. Correo recordatorio</w:t>
            </w:r>
          </w:p>
        </w:tc>
        <w:tc>
          <w:tcPr>
            <w:tcW w:type="dxa" w:w="2412"/>
          </w:tcPr>
          <w:p>
            <w:r/>
            <w:r>
              <w:t>3 días hábiles antes de la fecha</w:t>
            </w:r>
          </w:p>
        </w:tc>
        <w:tc>
          <w:tcPr>
            <w:tcW w:type="dxa" w:w="2412"/>
          </w:tcPr>
          <w:p>
            <w:r/>
            <w:r>
              <w:t>Correo breve, amable, con la fecha y el pedido adjunto.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2. Llamada breve</w:t>
            </w:r>
          </w:p>
        </w:tc>
        <w:tc>
          <w:tcPr>
            <w:tcW w:type="dxa" w:w="2412"/>
          </w:tcPr>
          <w:p>
            <w:r/>
            <w:r>
              <w:t>2 días hábiles después del vencimiento</w:t>
            </w:r>
          </w:p>
        </w:tc>
        <w:tc>
          <w:tcPr>
            <w:tcW w:type="dxa" w:w="2412"/>
          </w:tcPr>
          <w:p>
            <w:r/>
            <w:r>
              <w:t>Llamada de 5 minutos: preguntar "¿en qué está? ¿puedo ayudar a desbloquear?"</w:t>
            </w:r>
          </w:p>
        </w:tc>
        <w:tc>
          <w:tcPr>
            <w:tcW w:type="dxa" w:w="2412"/>
          </w:tcPr>
          <w:p>
            <w:r/>
            <w:r>
              <w:t>RSI</w:t>
            </w:r>
          </w:p>
        </w:tc>
      </w:tr>
      <w:tr>
        <w:tc>
          <w:tcPr>
            <w:tcW w:type="dxa" w:w="2412"/>
          </w:tcPr>
          <w:p>
            <w:r/>
            <w:r>
              <w:t>3. Escalada al sponsor</w:t>
            </w:r>
          </w:p>
        </w:tc>
        <w:tc>
          <w:tcPr>
            <w:tcW w:type="dxa" w:w="2412"/>
          </w:tcPr>
          <w:p>
            <w:r/>
            <w:r>
              <w:t>1 semana después del vencimiento</w:t>
            </w:r>
          </w:p>
        </w:tc>
        <w:tc>
          <w:tcPr>
            <w:tcW w:type="dxa" w:w="2412"/>
          </w:tcPr>
          <w:p>
            <w:r/>
            <w:r>
              <w:t>Correo formal al sponsor con el compromiso, la fecha, los recordatorios y la causa.</w:t>
            </w:r>
          </w:p>
        </w:tc>
        <w:tc>
          <w:tcPr>
            <w:tcW w:type="dxa" w:w="2412"/>
          </w:tcPr>
          <w:p>
            <w:r/>
            <w:r>
              <w:t>RSI + Sponsor</w:t>
            </w:r>
          </w:p>
        </w:tc>
      </w:tr>
    </w:tbl>
    <w:p>
      <w:r>
        <w:t xml:space="preserve">La escalada no es un castigo: es una </w:t>
      </w:r>
      <w:r>
        <w:rPr>
          <w:b/>
        </w:rPr>
        <w:t>herramienta de desbloqueo</w:t>
      </w:r>
      <w:r>
        <w:t xml:space="preserve">. Muchas veces el área no entrega porque un dato depende de otra área o de un sistema viejo, y el sponsor es quien tiene el poder de resolverlo. Por eso en la escalada se describe el </w:t>
      </w:r>
      <w:r>
        <w:rPr>
          <w:b/>
        </w:rPr>
        <w:t>bloqueo</w:t>
      </w:r>
      <w:r>
        <w:t>, no la culpa.</w:t>
      </w:r>
    </w:p>
    <w:p>
      <w:pPr>
        <w:pStyle w:val="Heading3"/>
      </w:pPr>
      <w:r>
        <w:rPr>
          <w:color w:val="1F3B63"/>
        </w:rPr>
        <w:t>4.2 Plazos reales y negociados</w:t>
      </w:r>
    </w:p>
    <w:p>
      <w:r>
        <w:t>Nunca pongas vos una fecha "ideal". La fecha es negociada: "¿Cuándo podés tenerlo? ¿Qué necesitás para esa fecha?" Un plazo realista cumplido vale más que un plazo ideal vencido. Si el área te dice "no sé", ofrecé un rango y que elija.</w:t>
      </w:r>
    </w:p>
    <w:p>
      <w:pPr>
        <w:pStyle w:val="Heading3"/>
      </w:pPr>
      <w:r>
        <w:rPr>
          <w:color w:val="1F3B63"/>
        </w:rPr>
        <w:t>4.3 Reuniones breves de 15 minutos</w:t>
      </w:r>
    </w:p>
    <w:p>
      <w:r>
        <w:t>Para pendientes con varias partes, usá reuniones de 15 minutos, de pie o por video, con agenda de tres puntos: qué falta, qué bloquea, fecha nueva. 15 minutos obligan a ir al grano y no se sienten como una pérdida de tiempo del área.</w:t>
      </w:r>
    </w:p>
    <w:p>
      <w:pPr>
        <w:pStyle w:val="Heading3"/>
      </w:pPr>
      <w:r>
        <w:rPr>
          <w:color w:val="1F3B63"/>
        </w:rPr>
        <w:t>4.4 La regla de las 2 semanas</w:t>
      </w:r>
    </w:p>
    <w:p>
      <w:r>
        <w:rPr>
          <w:b/>
        </w:rPr>
        <w:t>Ningún compromiso pasa más de 2 semanas sin contacto.</w:t>
      </w:r>
      <w:r>
        <w:t xml:space="preserve"> Si a las 2 semanas no hubo entrega ni respuesta, el compromiso está muerto de facto: se re-agenda con causa o se convierte en pendiente formal. Esta regla evita que el proyecto arrastre deudas fantasma durante meses.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Qué hacer con los compromisos vencidos</w:t>
      </w:r>
    </w:p>
    <w:p>
      <w:r>
        <w:t xml:space="preserve">El compromiso vencido no es un fracaso: es </w:t>
      </w:r>
      <w:r>
        <w:rPr>
          <w:b/>
        </w:rPr>
        <w:t>información</w:t>
      </w:r>
      <w:r>
        <w:t>. Alguien no pudo entregar por una causa, y esa causa te dice algo sobre el área, el sistema o el alcance. Tu trabajo es capturarla.</w:t>
      </w:r>
    </w:p>
    <w:p>
      <w:pPr>
        <w:pStyle w:val="Heading3"/>
      </w:pPr>
      <w:r>
        <w:rPr>
          <w:color w:val="1F3B63"/>
        </w:rPr>
        <w:t>5.1 Primero: re-negociar con causa</w:t>
      </w:r>
    </w:p>
    <w:p>
      <w:r>
        <w:t>Antes de cualquier escalada, preguntá: "¿qué pasó?". Si la causa es legítima (un corte de energía, una prioridad de negocio, falta de acceso a un sistema viejo), se negocia una fecha nueva con la causa anotada. La causa anotada es oro: es la base del análisis de riesgos (ID-02/03).</w:t>
      </w:r>
    </w:p>
    <w:p>
      <w:pPr>
        <w:pStyle w:val="Heading3"/>
      </w:pPr>
      <w:r>
        <w:rPr>
          <w:color w:val="1F3B63"/>
        </w:rPr>
        <w:t>5.2 Escalar por jerarquía</w:t>
      </w:r>
    </w:p>
    <w:p>
      <w:r>
        <w:t>Si la causa no es legítima o el bloqueo no se puede resolver en el área, subís el escalonamiento a la etapa 3 (correo al sponsor). Si el sponsor no resuelve en 15 días, subís al siguiente nivel jerárquico con copia al Comité. Siempre por escrito y con el historial de la planilla.</w:t>
      </w:r>
    </w:p>
    <w:p>
      <w:pPr>
        <w:pStyle w:val="Heading3"/>
      </w:pPr>
      <w:r>
        <w:rPr>
          <w:color w:val="1F3B63"/>
        </w:rPr>
        <w:t>5.3 Documentar el atraso como riesgo</w:t>
      </w:r>
    </w:p>
    <w:p>
      <w:r>
        <w:t xml:space="preserve">Un compromiso que se vence reiteradamente es un </w:t>
      </w:r>
      <w:r>
        <w:rPr>
          <w:b/>
        </w:rPr>
        <w:t>síntoma</w:t>
      </w:r>
      <w:r>
        <w:t>. Ese síntoma se convierte en riesgo en ID-02 y ID-03: "el área X no mantiene actualizado el inventario de bases, lo que afecta la inscripción ante la URCDP". Así el atraso deja de ser un problema personal de seguimiento y pasa a ser un riesgo gestionable del banco.</w:t>
      </w:r>
    </w:p>
    <w:p>
      <w:pPr>
        <w:pStyle w:val="Heading3"/>
      </w:pPr>
      <w:r>
        <w:rPr>
          <w:color w:val="1F3B63"/>
        </w:rPr>
        <w:t>5.4 Plantilla de correo de escalamiento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El cierre del ciclo de relevamiento</w:t>
      </w:r>
    </w:p>
    <w:p>
      <w:r>
        <w:t>El relevamiento se cierra, no se abandona. El cierre tiene tres pasos:</w:t>
      </w:r>
    </w:p>
    <w:p>
      <w:pPr>
        <w:pStyle w:val="Heading3"/>
      </w:pPr>
      <w:r>
        <w:rPr>
          <w:color w:val="1F3B63"/>
        </w:rPr>
        <w:t>6.1 Cruce contra RELEV-02 y RELEV-07</w:t>
      </w:r>
    </w:p>
    <w:p>
      <w:r>
        <w:t xml:space="preserve">Cada requisito relevable que definiste en </w:t>
      </w:r>
      <w:r>
        <w:rPr>
          <w:b/>
        </w:rPr>
        <w:t>RELEV-02</w:t>
      </w:r>
      <w:r>
        <w:t xml:space="preserve"> (norma → territorio) debe tener evidencia pedida en </w:t>
      </w:r>
      <w:r>
        <w:rPr>
          <w:b/>
        </w:rPr>
        <w:t>RELEV-07</w:t>
      </w:r>
      <w:r>
        <w:t xml:space="preserve"> y evidencia recibida en la planilla de compromisos. Checklist del cruce:</w:t>
      </w:r>
    </w:p>
    <w:p>
      <w:pPr>
        <w:pStyle w:val="ListBullet"/>
      </w:pPr>
      <w:r>
        <w:t>☐ Cada requisito de la matriz de RELEV-02 tiene al menos un compromiso asociado.</w:t>
      </w:r>
    </w:p>
    <w:p>
      <w:pPr>
        <w:pStyle w:val="ListBullet"/>
      </w:pPr>
      <w:r>
        <w:t>☐ Cada compromiso cerrado tiene su evidencia guardada en la carpeta correcta del kit.</w:t>
      </w:r>
    </w:p>
    <w:p>
      <w:pPr>
        <w:pStyle w:val="ListBullet"/>
      </w:pPr>
      <w:r>
        <w:t>☐ Los compromisos sin cerrar están identificados como pendientes con causa.</w:t>
      </w:r>
    </w:p>
    <w:p>
      <w:pPr>
        <w:pStyle w:val="ListBullet"/>
      </w:pPr>
      <w:r>
        <w:t>☐ Los pendientes se mapean a un riesgo (ID-02/03) o a una tarea del plan de 18 meses.</w:t>
      </w:r>
    </w:p>
    <w:p>
      <w:pPr>
        <w:pStyle w:val="Heading3"/>
      </w:pPr>
      <w:r>
        <w:rPr>
          <w:color w:val="1F3B63"/>
        </w:rPr>
        <w:t>6.2 El informe final de relevamiento</w:t>
      </w:r>
    </w:p>
    <w:p>
      <w:r>
        <w:t>Estructura mínima del informe de cierre:</w:t>
      </w:r>
    </w:p>
    <w:p>
      <w:pPr>
        <w:pStyle w:val="Heading3"/>
      </w:pPr>
      <w:r>
        <w:rPr>
          <w:color w:val="1F3B63"/>
        </w:rPr>
        <w:t>6.3 Socializar el informe antes de entregarlo</w:t>
      </w:r>
    </w:p>
    <w:p>
      <w:r>
        <w:t>Nunca mandes el informe final sin que las áreas lo hayan visto. Cada área revisa lo que dice sobre ella: corrige errores, desactiva sorpresas y convierte al área en coautora. El informe socializado no genera defensivas en el Comité; el informe sorpresa sí.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Cómo presentar el informe de cierre al Comité y a la Dirección</w:t>
      </w:r>
    </w:p>
    <w:p>
      <w:r>
        <w:t xml:space="preserve">El informe al Comité/Dirección no es el informe completo: es una </w:t>
      </w:r>
      <w:r>
        <w:rPr>
          <w:b/>
        </w:rPr>
        <w:t>síntesis de decisiones</w:t>
      </w:r>
      <w:r>
        <w:t>. Usá esta tabla resumen por área: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Área relevada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Reuniones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Evidencias obtenidas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Brechas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Pendientes prioritarios</w:t>
            </w:r>
          </w:p>
        </w:tc>
      </w:tr>
      <w:tr>
        <w:tc>
          <w:tcPr>
            <w:tcW w:type="dxa" w:w="1930"/>
          </w:tcPr>
          <w:p>
            <w:r/>
            <w:r>
              <w:t>División Banca Persona</w:t>
            </w:r>
          </w:p>
        </w:tc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9</w:t>
            </w:r>
          </w:p>
        </w:tc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Inventario de expedientes de crédito</w:t>
            </w:r>
          </w:p>
        </w:tc>
      </w:tr>
      <w:tr>
        <w:tc>
          <w:tcPr>
            <w:tcW w:type="dxa" w:w="1930"/>
          </w:tcPr>
          <w:p>
            <w:r/>
            <w:r>
              <w:t>División Canales y Apoyo Comercial</w:t>
            </w:r>
          </w:p>
        </w:tc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7</w:t>
            </w:r>
          </w:p>
        </w:tc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Ficha técnica de Banco En Línea</w:t>
            </w:r>
          </w:p>
        </w:tc>
      </w:tr>
      <w:tr>
        <w:tc>
          <w:tcPr>
            <w:tcW w:type="dxa" w:w="1930"/>
          </w:tcPr>
          <w:p>
            <w:r/>
            <w:r>
              <w:t>División TI</w:t>
            </w:r>
          </w:p>
        </w:tc>
        <w:tc>
          <w:tcPr>
            <w:tcW w:type="dxa" w:w="1930"/>
          </w:tcPr>
          <w:p>
            <w:r/>
            <w:r>
              <w:t>6</w:t>
            </w:r>
          </w:p>
        </w:tc>
        <w:tc>
          <w:tcPr>
            <w:tcW w:type="dxa" w:w="1930"/>
          </w:tcPr>
          <w:p>
            <w:r/>
            <w:r>
              <w:t>15</w:t>
            </w:r>
          </w:p>
        </w:tc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Política de resguardos documentada</w:t>
            </w:r>
          </w:p>
        </w:tc>
      </w:tr>
      <w:tr>
        <w:tc>
          <w:tcPr>
            <w:tcW w:type="dxa" w:w="1930"/>
          </w:tcPr>
          <w:p>
            <w:r/>
            <w:r>
              <w:t>División Operaciones</w:t>
            </w:r>
          </w:p>
        </w:tc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Procedimiento de pagos interbancarios</w:t>
            </w:r>
          </w:p>
        </w:tc>
      </w:tr>
      <w:tr>
        <w:tc>
          <w:tcPr>
            <w:tcW w:type="dxa" w:w="1930"/>
          </w:tcPr>
          <w:p>
            <w:r/>
            <w:r>
              <w:t>...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</w:tbl>
    <w:p>
      <w:pPr>
        <w:pStyle w:val="Heading3"/>
      </w:pPr>
      <w:r>
        <w:rPr>
          <w:color w:val="1F3B63"/>
        </w:rPr>
        <w:t>7.1 Prioridades para la siguiente etapa</w:t>
      </w:r>
    </w:p>
    <w:p>
      <w:r>
        <w:t>Presentá los próximos pasos con su documento del kit y su prioridad: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Próximo paso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3216"/>
          </w:tcPr>
          <w:p>
            <w:r/>
            <w:r>
              <w:t>Evaluación de riesgos con metodología</w:t>
            </w:r>
          </w:p>
        </w:tc>
        <w:tc>
          <w:tcPr>
            <w:tcW w:type="dxa" w:w="3216"/>
          </w:tcPr>
          <w:p>
            <w:r/>
            <w:r>
              <w:t>ID-03</w:t>
            </w:r>
          </w:p>
        </w:tc>
        <w:tc>
          <w:tcPr>
            <w:tcW w:type="dxa" w:w="3216"/>
          </w:tcPr>
          <w:p>
            <w:r/>
            <w:r>
              <w:t>Alta</w:t>
            </w:r>
          </w:p>
        </w:tc>
      </w:tr>
      <w:tr>
        <w:tc>
          <w:tcPr>
            <w:tcW w:type="dxa" w:w="3216"/>
          </w:tcPr>
          <w:p>
            <w:r/>
            <w:r>
              <w:t>Plan de tratamiento de riesgos</w:t>
            </w:r>
          </w:p>
        </w:tc>
        <w:tc>
          <w:tcPr>
            <w:tcW w:type="dxa" w:w="3216"/>
          </w:tcPr>
          <w:p>
            <w:r/>
            <w:r>
              <w:t>ID-04</w:t>
            </w:r>
          </w:p>
        </w:tc>
        <w:tc>
          <w:tcPr>
            <w:tcW w:type="dxa" w:w="3216"/>
          </w:tcPr>
          <w:p>
            <w:r/>
            <w:r>
              <w:t>Alta</w:t>
            </w:r>
          </w:p>
        </w:tc>
      </w:tr>
      <w:tr>
        <w:tc>
          <w:tcPr>
            <w:tcW w:type="dxa" w:w="3216"/>
          </w:tcPr>
          <w:p>
            <w:r/>
            <w:r>
              <w:t>Inscripción de bases de datos ante URCDP</w:t>
            </w:r>
          </w:p>
        </w:tc>
        <w:tc>
          <w:tcPr>
            <w:tcW w:type="dxa" w:w="3216"/>
          </w:tcPr>
          <w:p>
            <w:r/>
            <w:r>
              <w:t>URCDP-04</w:t>
            </w:r>
          </w:p>
        </w:tc>
        <w:tc>
          <w:tcPr>
            <w:tcW w:type="dxa" w:w="3216"/>
          </w:tcPr>
          <w:p>
            <w:r/>
            <w:r>
              <w:t>Alta</w:t>
            </w:r>
          </w:p>
        </w:tc>
      </w:tr>
      <w:tr>
        <w:tc>
          <w:tcPr>
            <w:tcW w:type="dxa" w:w="3216"/>
          </w:tcPr>
          <w:p>
            <w:r/>
            <w:r>
              <w:t>Perfil de ciberseguridad institucional</w:t>
            </w:r>
          </w:p>
        </w:tc>
        <w:tc>
          <w:tcPr>
            <w:tcW w:type="dxa" w:w="3216"/>
          </w:tcPr>
          <w:p>
            <w:r/>
            <w:r>
              <w:t>ID-05</w:t>
            </w:r>
          </w:p>
        </w:tc>
        <w:tc>
          <w:tcPr>
            <w:tcW w:type="dxa" w:w="3216"/>
          </w:tcPr>
          <w:p>
            <w:r/>
            <w:r>
              <w:t>Media</w:t>
            </w:r>
          </w:p>
        </w:tc>
      </w:tr>
      <w:tr>
        <w:tc>
          <w:tcPr>
            <w:tcW w:type="dxa" w:w="3216"/>
          </w:tcPr>
          <w:p>
            <w:r/>
            <w:r>
              <w:t>Verificación con Auditoría Interna</w:t>
            </w:r>
          </w:p>
        </w:tc>
        <w:tc>
          <w:tcPr>
            <w:tcW w:type="dxa" w:w="3216"/>
          </w:tcPr>
          <w:p>
            <w:r/>
            <w:r>
              <w:t>BCU-05</w:t>
            </w:r>
          </w:p>
        </w:tc>
        <w:tc>
          <w:tcPr>
            <w:tcW w:type="dxa" w:w="3216"/>
          </w:tcPr>
          <w:p>
            <w:r/>
            <w:r>
              <w:t>Media</w:t>
            </w:r>
          </w:p>
        </w:tc>
      </w:tr>
    </w:tbl>
    <w:p>
      <w:pPr>
        <w:pStyle w:val="Heading3"/>
      </w:pPr>
      <w:r>
        <w:rPr>
          <w:color w:val="1F3B63"/>
        </w:rPr>
        <w:t>7.2 Guion de presentación de 3 minutos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Errores comunes</w:t>
      </w:r>
    </w:p>
    <w:p>
      <w:pPr>
        <w:pStyle w:val="ListBullet"/>
      </w:pPr>
      <w:r>
        <w:rPr>
          <w:b/>
        </w:rPr>
        <w:t>Reunión sin minuta y sin compromisos</w:t>
      </w:r>
      <w:r>
        <w:t>: si no quedó escrito, no pasó.</w:t>
      </w:r>
    </w:p>
    <w:p>
      <w:pPr>
        <w:pStyle w:val="ListBullet"/>
      </w:pPr>
      <w:r>
        <w:rPr>
          <w:b/>
        </w:rPr>
        <w:t>Planilla con estados "en proceso" para siempre</w:t>
      </w:r>
      <w:r>
        <w:t>: un estado cómodo no avanza el proyecto. Forzá fechas.</w:t>
      </w:r>
    </w:p>
    <w:p>
      <w:pPr>
        <w:pStyle w:val="ListBullet"/>
      </w:pPr>
      <w:r>
        <w:rPr>
          <w:b/>
        </w:rPr>
        <w:t>Perseguir solo por teléfono</w:t>
      </w:r>
      <w:r>
        <w:t>: el seguimiento informal no deja rastro. Todo por escrito, con copia.</w:t>
      </w:r>
    </w:p>
    <w:p>
      <w:pPr>
        <w:pStyle w:val="ListBullet"/>
      </w:pPr>
      <w:r>
        <w:rPr>
          <w:b/>
        </w:rPr>
        <w:t>No escalar a tiempo</w:t>
      </w:r>
      <w:r>
        <w:t>: esperar un mes para avisar al sponsor convierte un atraso menor en un proyecto en riesgo.</w:t>
      </w:r>
    </w:p>
    <w:p>
      <w:pPr>
        <w:pStyle w:val="ListBullet"/>
      </w:pPr>
      <w:r>
        <w:rPr>
          <w:b/>
        </w:rPr>
        <w:t>Escalar sin causa</w:t>
      </w:r>
      <w:r>
        <w:t>: subir un problema sin saber qué lo bloquea solo genera ruido y desgasta al sponsor.</w:t>
      </w:r>
    </w:p>
    <w:p>
      <w:pPr>
        <w:pStyle w:val="ListBullet"/>
      </w:pPr>
      <w:r>
        <w:rPr>
          <w:b/>
        </w:rPr>
        <w:t>Cerrar compromisos sin evidencia</w:t>
      </w:r>
      <w:r>
        <w:t>: "me dijo que ya está" no es un cierre. El cierre es el archivo recibido y registrado.</w:t>
      </w:r>
    </w:p>
    <w:p>
      <w:pPr>
        <w:pStyle w:val="ListBullet"/>
      </w:pPr>
      <w:r>
        <w:rPr>
          <w:b/>
        </w:rPr>
        <w:t>Presentar el informe sin socializar</w:t>
      </w:r>
      <w:r>
        <w:t>: el Comité no debería ser la primera vez que el área ve lo que se escribió de ella.</w:t>
      </w:r>
    </w:p>
    <w:p>
      <w:pPr>
        <w:pStyle w:val="ListBullet"/>
      </w:pPr>
      <w:r>
        <w:rPr>
          <w:b/>
        </w:rPr>
        <w:t>Olvidar la segunda vuelta</w:t>
      </w:r>
      <w:r>
        <w:t>: el relevamiento no es una campaña única: se mantiene y se repite (RELEV-11, sección 6).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ID-04, GV-06, BCU-05, RC-04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