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RELEV-10 · Comunicación estratégica del relevamiento</w:t>
      </w:r>
    </w:p>
    <w:p>
      <w:r>
        <w:rPr>
          <w:b/>
        </w:rPr>
        <w:t>Verificar contra el organigrama vigente:</w:t>
      </w:r>
      <w:r>
        <w:t xml:space="preserve"> los nombres y cargos mencionados en este módulo corresponden al organigrama de abril 2026. Antes de usarlos en una presentación, un correo o una invitación formal, confirmalos contra la versión vigente publicada por el Banco: los cargos rotan y los nombres cambian sin aviso.</w:t>
      </w:r>
    </w:p>
    <w:p>
      <w:pPr>
        <w:ind w:left="432"/>
      </w:pPr>
      <w:r>
        <w:rPr>
          <w:i/>
          <w:color w:val="606060"/>
        </w:rPr>
        <w:t>**Función del MCU 5.0:** este módulo activa la función RS (Responder) en su arista de comunicación (RS.CO) y la función PR (Proteger) en su arista de concientización (PR.AT): comunicar el relevamiento es parte del gobierno de la seguridad, no un adorno.</w:t>
      </w:r>
    </w:p>
    <w:p>
      <w:pPr>
        <w:ind w:left="432"/>
      </w:pPr>
      <w:r>
        <w:rPr>
          <w:i/>
          <w:color w:val="606060"/>
        </w:rPr>
        <w:t>**ISO/IEC 27001:** la cláusula 7 (apoyo y competencia) exige que el personal conozca la política de seguridad (GV-01): el relevamiento bien comunicado es la primera instancia de sensibilización.</w:t>
      </w:r>
    </w:p>
    <w:p>
      <w:pPr>
        <w:ind w:left="432"/>
      </w:pPr>
      <w:r>
        <w:rPr>
          <w:i/>
          <w:color w:val="606060"/>
        </w:rPr>
        <w:t>**BCU:** el EMG y el RNRCSF art. 492 requieren una cultura de control: los funcionarios deben saber qué se está haciendo con la seguridad y qué se espera de ellos.</w:t>
      </w:r>
    </w:p>
    <w:p>
      <w:pPr>
        <w:ind w:left="432"/>
      </w:pPr>
      <w:r>
        <w:rPr>
          <w:i/>
          <w:color w:val="606060"/>
        </w:rPr>
        <w:t>**URCDP:** la comunicación con los funcionarios sobre datos personales (qué se trata, con qué finalidad, con qué medidas) prepara el terreno para el ROPA, el Documento de Seguridad y las EIPD (URCDP-01, URCDP-04, URCDP-05).</w:t>
      </w:r>
    </w:p>
    <w:p>
      <w:pPr>
        <w:ind w:left="432"/>
      </w:pPr>
      <w:r>
        <w:rPr>
          <w:i/>
          <w:color w:val="606060"/>
        </w:rPr>
        <w:t>**Nivel del curso:** 🟢 Descubrir · 🟡 **Practicar**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La comunicación como habilitadora del proyecto</w:t>
      </w:r>
    </w:p>
    <w:p>
      <w:r>
        <w:t>Un proyecto de relevamiento sin comunicación es como un barco sin radio: navega, pero nadie sabe adónde va, por qué va y si va a llegar. Y en el mar abierto de una organización como el Banco, un barco sin radio termina o chocando o siendo ignorado por los demás barcos.</w:t>
      </w:r>
    </w:p>
    <w:p>
      <w:r>
        <w:t xml:space="preserve">La comunicación no es la parte bonita del proyecto: es la parte </w:t>
      </w:r>
      <w:r>
        <w:rPr>
          <w:b/>
        </w:rPr>
        <w:t>habilitadora</w:t>
      </w:r>
      <w:r>
        <w:t>. Sin comunicación, el proyecto muere en silencio:</w:t>
      </w:r>
    </w:p>
    <w:p>
      <w:pPr>
        <w:pStyle w:val="ListBullet"/>
      </w:pPr>
      <w:r>
        <w:rPr>
          <w:b/>
        </w:rPr>
        <w:t>Sin mensaje inicial</w:t>
      </w:r>
      <w:r>
        <w:t>, las áreas no entienden por qué llega un RSI a pedirles información. Responden con desconfianza o con papeles genéricos.</w:t>
      </w:r>
    </w:p>
    <w:p>
      <w:pPr>
        <w:pStyle w:val="ListBullet"/>
      </w:pPr>
      <w:r>
        <w:rPr>
          <w:b/>
        </w:rPr>
        <w:t>Sin avances periódicos</w:t>
      </w:r>
      <w:r>
        <w:t>, el Directorio y la Gerencia olvidan que el proyecto existe y no lo defienden cuando aparece una prioridad competitiva.</w:t>
      </w:r>
    </w:p>
    <w:p>
      <w:pPr>
        <w:pStyle w:val="ListBullet"/>
      </w:pPr>
      <w:r>
        <w:rPr>
          <w:b/>
        </w:rPr>
        <w:t>Sin reconocimiento</w:t>
      </w:r>
      <w:r>
        <w:t>, los funcionarios que entregaron evidencias sienten que su esfuerzo no valió nada, y no vuelven a colaborar en la segunda vuelta.</w:t>
      </w:r>
    </w:p>
    <w:p>
      <w:pPr>
        <w:pStyle w:val="ListBullet"/>
      </w:pPr>
      <w:r>
        <w:rPr>
          <w:b/>
        </w:rPr>
        <w:t>Sin cierre comunicado</w:t>
      </w:r>
      <w:r>
        <w:t>, el proyecto "termina" solo para el RSI: el resto de la organización sigue creyendo que no pasó nada.</w:t>
      </w:r>
    </w:p>
    <w:p>
      <w:r>
        <w:t xml:space="preserve">La regla general: </w:t>
      </w:r>
      <w:r>
        <w:rPr>
          <w:b/>
        </w:rPr>
        <w:t>el relevamiento se comunica al inicio, durante y después</w:t>
      </w:r>
      <w:r>
        <w:t>. En este módulo vas a aprender a comunicar cada etapa con el mensaje correcto, al público correcto, por el canal correcto y con la frecuencia correcta.</w:t>
      </w:r>
    </w:p>
    <w:p>
      <w:pPr>
        <w:pStyle w:val="Heading3"/>
      </w:pPr>
      <w:r>
        <w:rPr>
          <w:color w:val="1F3B63"/>
        </w:rPr>
        <w:t>1.1 Comunicar es también cumplir la norma</w:t>
      </w:r>
    </w:p>
    <w:p>
      <w:r>
        <w:t xml:space="preserve">La comunicación no es un invento de este curso: está en las normas que rigen al SGSI del Banco. El MCU 5.0 pide concientización (PR.AT) y comunicación de incidentes y respuesta (RS.CO); la ISO 27001 pide que el personal conozca la política (cláusula 7); el BCU espera cultura de control; y la URCDP espera que los funcionarios sepan qué pasa con los datos personales. </w:t>
      </w:r>
      <w:r>
        <w:rPr>
          <w:b/>
        </w:rPr>
        <w:t>Cuando comunicás el relevamiento, no estás difundiendo tu proyecto: estás cumpliendo los requisitos de sensibilización de la norma.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Públicos y mensajes</w:t>
      </w:r>
    </w:p>
    <w:p>
      <w:r>
        <w:t xml:space="preserve">No todos los públicos necesitan el mismo mensaje. El Directorio no necesita saber cuántas columnas tiene tu planilla de evidencias, y el funcionario de una sucursal no necesita el detalle del art. 492 del RNRCSF. Lo que todos necesitan es saber </w:t>
      </w:r>
      <w:r>
        <w:rPr>
          <w:b/>
        </w:rPr>
        <w:t>qué pasa, qué se espera de ellos y qué ganan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Público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Mensaje principal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Canal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</w:tr>
      <w:tr>
        <w:tc>
          <w:tcPr>
            <w:tcW w:type="dxa" w:w="2412"/>
          </w:tcPr>
          <w:p>
            <w:r/>
            <w:r>
              <w:t>Directorio</w:t>
            </w:r>
          </w:p>
        </w:tc>
        <w:tc>
          <w:tcPr>
            <w:tcW w:type="dxa" w:w="2412"/>
          </w:tcPr>
          <w:p>
            <w:r/>
            <w:r>
              <w:t>Resultados, riesgos relevantes y decisiones que se necesitan.</w:t>
            </w:r>
          </w:p>
        </w:tc>
        <w:tc>
          <w:tcPr>
            <w:tcW w:type="dxa" w:w="2412"/>
          </w:tcPr>
          <w:p>
            <w:r/>
            <w:r>
              <w:t>Informe trimestral, presentación al Comité</w:t>
            </w:r>
          </w:p>
        </w:tc>
        <w:tc>
          <w:tcPr>
            <w:tcW w:type="dxa" w:w="2412"/>
          </w:tcPr>
          <w:p>
            <w:r/>
            <w:r>
              <w:t>Trimestral</w:t>
            </w:r>
          </w:p>
        </w:tc>
      </w:tr>
      <w:tr>
        <w:tc>
          <w:tcPr>
            <w:tcW w:type="dxa" w:w="2412"/>
          </w:tcPr>
          <w:p>
            <w:r/>
            <w:r>
              <w:t>Gerencia General</w:t>
            </w:r>
          </w:p>
        </w:tc>
        <w:tc>
          <w:tcPr>
            <w:tcW w:type="dxa" w:w="2412"/>
          </w:tcPr>
          <w:p>
            <w:r/>
            <w:r>
              <w:t>Avance, bloqueos y pedidos de respaldo formal.</w:t>
            </w:r>
          </w:p>
        </w:tc>
        <w:tc>
          <w:tcPr>
            <w:tcW w:type="dxa" w:w="2412"/>
          </w:tcPr>
          <w:p>
            <w:r/>
            <w:r>
              <w:t>Informe mensual, reunión con sponsor</w:t>
            </w:r>
          </w:p>
        </w:tc>
        <w:tc>
          <w:tcPr>
            <w:tcW w:type="dxa" w:w="2412"/>
          </w:tcPr>
          <w:p>
            <w:r/>
            <w:r>
              <w:t>Mensual</w:t>
            </w:r>
          </w:p>
        </w:tc>
      </w:tr>
      <w:tr>
        <w:tc>
          <w:tcPr>
            <w:tcW w:type="dxa" w:w="2412"/>
          </w:tcPr>
          <w:p>
            <w:r/>
            <w:r>
              <w:t>Comité de Seguridad</w:t>
            </w:r>
          </w:p>
        </w:tc>
        <w:tc>
          <w:tcPr>
            <w:tcW w:type="dxa" w:w="2412"/>
          </w:tcPr>
          <w:p>
            <w:r/>
            <w:r>
              <w:t>Avance contra el plan, brechas, escalamientos.</w:t>
            </w:r>
          </w:p>
        </w:tc>
        <w:tc>
          <w:tcPr>
            <w:tcW w:type="dxa" w:w="2412"/>
          </w:tcPr>
          <w:p>
            <w:r/>
            <w:r>
              <w:t>Minuta de reunión del Comité</w:t>
            </w:r>
          </w:p>
        </w:tc>
        <w:tc>
          <w:tcPr>
            <w:tcW w:type="dxa" w:w="2412"/>
          </w:tcPr>
          <w:p>
            <w:r/>
            <w:r>
              <w:t>Bimensual</w:t>
            </w:r>
          </w:p>
        </w:tc>
      </w:tr>
      <w:tr>
        <w:tc>
          <w:tcPr>
            <w:tcW w:type="dxa" w:w="2412"/>
          </w:tcPr>
          <w:p>
            <w:r/>
            <w:r>
              <w:t>Áreas relevadas</w:t>
            </w:r>
          </w:p>
        </w:tc>
        <w:tc>
          <w:tcPr>
            <w:tcW w:type="dxa" w:w="2412"/>
          </w:tcPr>
          <w:p>
            <w:r/>
            <w:r>
              <w:t>Qué se releva, qué se pide, qué se devuelve.</w:t>
            </w:r>
          </w:p>
        </w:tc>
        <w:tc>
          <w:tcPr>
            <w:tcW w:type="dxa" w:w="2412"/>
          </w:tcPr>
          <w:p>
            <w:r/>
            <w:r>
              <w:t>Correo de bienvenida, kickoff, minutas</w:t>
            </w:r>
          </w:p>
        </w:tc>
        <w:tc>
          <w:tcPr>
            <w:tcW w:type="dxa" w:w="2412"/>
          </w:tcPr>
          <w:p>
            <w:r/>
            <w:r>
              <w:t>Por área / al inicio</w:t>
            </w:r>
          </w:p>
        </w:tc>
      </w:tr>
      <w:tr>
        <w:tc>
          <w:tcPr>
            <w:tcW w:type="dxa" w:w="2412"/>
          </w:tcPr>
          <w:p>
            <w:r/>
            <w:r>
              <w:t>División TI</w:t>
            </w:r>
          </w:p>
        </w:tc>
        <w:tc>
          <w:tcPr>
            <w:tcW w:type="dxa" w:w="2412"/>
          </w:tcPr>
          <w:p>
            <w:r/>
            <w:r>
              <w:t>Aliado técnico: qué datos técnicos se necesitan.</w:t>
            </w:r>
          </w:p>
        </w:tc>
        <w:tc>
          <w:tcPr>
            <w:tcW w:type="dxa" w:w="2412"/>
          </w:tcPr>
          <w:p>
            <w:r/>
            <w:r>
              <w:t>Reuniones de trabajo, dossier RELEV-04</w:t>
            </w:r>
          </w:p>
        </w:tc>
        <w:tc>
          <w:tcPr>
            <w:tcW w:type="dxa" w:w="2412"/>
          </w:tcPr>
          <w:p>
            <w:r/>
            <w:r>
              <w:t>Semanal durante el relevamiento</w:t>
            </w:r>
          </w:p>
        </w:tc>
      </w:tr>
      <w:tr>
        <w:tc>
          <w:tcPr>
            <w:tcW w:type="dxa" w:w="2412"/>
          </w:tcPr>
          <w:p>
            <w:r/>
            <w:r>
              <w:t>DPD (datos personales)</w:t>
            </w:r>
          </w:p>
        </w:tc>
        <w:tc>
          <w:tcPr>
            <w:tcW w:type="dxa" w:w="2412"/>
          </w:tcPr>
          <w:p>
            <w:r/>
            <w:r>
              <w:t>Bases de datos, finalidades, transferencias.</w:t>
            </w:r>
          </w:p>
        </w:tc>
        <w:tc>
          <w:tcPr>
            <w:tcW w:type="dxa" w:w="2412"/>
          </w:tcPr>
          <w:p>
            <w:r/>
            <w:r>
              <w:t>Reuniones dedicadas, plantillas URCDP</w:t>
            </w:r>
          </w:p>
        </w:tc>
        <w:tc>
          <w:tcPr>
            <w:tcW w:type="dxa" w:w="2412"/>
          </w:tcPr>
          <w:p>
            <w:r/>
            <w:r>
              <w:t>Por hitos</w:t>
            </w:r>
          </w:p>
        </w:tc>
      </w:tr>
      <w:tr>
        <w:tc>
          <w:tcPr>
            <w:tcW w:type="dxa" w:w="2412"/>
          </w:tcPr>
          <w:p>
            <w:r/>
            <w:r>
              <w:t>Funcionarios en general</w:t>
            </w:r>
          </w:p>
        </w:tc>
        <w:tc>
          <w:tcPr>
            <w:tcW w:type="dxa" w:w="2412"/>
          </w:tcPr>
          <w:p>
            <w:r/>
            <w:r>
              <w:t>Cultura de seguridad: por qué importa y qué pueden hacer.</w:t>
            </w:r>
          </w:p>
        </w:tc>
        <w:tc>
          <w:tcPr>
            <w:tcW w:type="dxa" w:w="2412"/>
          </w:tcPr>
          <w:p>
            <w:r/>
            <w:r>
              <w:t>Intranet, correos, charlas (PR-02)</w:t>
            </w:r>
          </w:p>
        </w:tc>
        <w:tc>
          <w:tcPr>
            <w:tcW w:type="dxa" w:w="2412"/>
          </w:tcPr>
          <w:p>
            <w:r/>
            <w:r>
              <w:t>Trimestral y en campañas</w:t>
            </w:r>
          </w:p>
        </w:tc>
      </w:tr>
    </w:tbl>
    <w:p>
      <w:pPr>
        <w:ind w:left="432"/>
      </w:pPr>
      <w:r>
        <w:rPr>
          <w:i/>
          <w:color w:val="606060"/>
        </w:rPr>
        <w:t>**La lógica de la tabla:** cada público tiene un **mensaje** (qué le importa), un **canal** (dónde le llega mejor) y una **frecuencia** (cada cuánto renovar el mensaje para que no se olvide). Si definís estas tres cosas al inicio, no vas a comunicar de más ni de menos.</w:t>
      </w:r>
    </w:p>
    <w:p>
      <w:pPr>
        <w:pStyle w:val="Heading3"/>
      </w:pPr>
      <w:r>
        <w:rPr>
          <w:color w:val="1F3B63"/>
        </w:rPr>
        <w:t>2.1 Los mensajes en detalle</w:t>
      </w:r>
    </w:p>
    <w:p>
      <w:pPr>
        <w:pStyle w:val="ListBullet"/>
      </w:pPr>
      <w:r>
        <w:rPr>
          <w:b/>
        </w:rPr>
        <w:t>Directorio/Gerencia:</w:t>
      </w:r>
      <w:r>
        <w:t xml:space="preserve"> les interesás los resultados y las decisiones. Traducí siempre en términos de riesgo y negocio: "tenemos X bases de datos personales sin inscribir", no "completamos 34 fichas de activos".</w:t>
      </w:r>
    </w:p>
    <w:p>
      <w:pPr>
        <w:pStyle w:val="ListBullet"/>
      </w:pPr>
      <w:r>
        <w:rPr>
          <w:b/>
        </w:rPr>
        <w:t>Comité de Seguridad:</w:t>
      </w:r>
      <w:r>
        <w:t xml:space="preserve"> les interesa el avance contra el plan de 18 meses y las brechas que requieren decisión. Andá con números y con pedidos concretos.</w:t>
      </w:r>
    </w:p>
    <w:p>
      <w:pPr>
        <w:pStyle w:val="ListBullet"/>
      </w:pPr>
      <w:r>
        <w:rPr>
          <w:b/>
        </w:rPr>
        <w:t>Áreas relevadas:</w:t>
      </w:r>
      <w:r>
        <w:t xml:space="preserve"> les interesa saber qué se espera de ellas, cuánto tiempo tomará y qué van a obtener. El mensaje clave: "esto no es una auditoría de personas, es una foto de procesos y sistemas; ustedes salen mejor cuando la foto es completa y precisa".</w:t>
      </w:r>
    </w:p>
    <w:p>
      <w:pPr>
        <w:pStyle w:val="ListBullet"/>
      </w:pPr>
      <w:r>
        <w:rPr>
          <w:b/>
        </w:rPr>
        <w:t>División TI:</w:t>
      </w:r>
      <w:r>
        <w:t xml:space="preserve"> es tu aliado técnico. El mensaje es de cooperación: "necesitamos el inventario técnico para que el banco pueda defender ante las normas lo que TI ya hace bien".</w:t>
      </w:r>
    </w:p>
    <w:p>
      <w:pPr>
        <w:pStyle w:val="ListBullet"/>
      </w:pPr>
      <w:r>
        <w:rPr>
          <w:b/>
        </w:rPr>
        <w:t>DPD:</w:t>
      </w:r>
      <w:r>
        <w:t xml:space="preserve"> comparte el mapa de datos personales. El mensaje es de trabajo conjunto sobre ROPA, inscripciones y EIPD.</w:t>
      </w:r>
    </w:p>
    <w:p>
      <w:pPr>
        <w:pStyle w:val="ListBullet"/>
      </w:pPr>
      <w:r>
        <w:rPr>
          <w:b/>
        </w:rPr>
        <w:t>Funcionarios:</w:t>
      </w:r>
      <w:r>
        <w:t xml:space="preserve"> el mensaje es de cultura. Que sepan qué hacer si reciben un correo sospechoso, qué datos no deben publicarse y a quién avisar. Es el inicio del programa de concientización PR-02.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El mensaje único</w:t>
      </w:r>
    </w:p>
    <w:p>
      <w:r>
        <w:t>Toda la comunicación del relevamiento se resume en una frase que todos los mensajes repiten con variaciones:</w:t>
      </w:r>
    </w:p>
    <w:p>
      <w:r>
        <w:t>Descomponé el mensaje único en sus tres partes:</w:t>
      </w:r>
    </w:p>
    <w:p>
      <w:pPr>
        <w:pStyle w:val="ListNumber"/>
      </w:pPr>
      <w:r>
        <w:rPr>
          <w:b/>
        </w:rPr>
        <w:t>Qué estamos haciendo:</w:t>
      </w:r>
      <w:r>
        <w:t xml:space="preserve"> relevando (no auditando, no controlando). Relevar es conocer; auditando suena a buscar culpables.</w:t>
      </w:r>
    </w:p>
    <w:p>
      <w:pPr>
        <w:pStyle w:val="ListNumber"/>
      </w:pPr>
      <w:r>
        <w:rPr>
          <w:b/>
        </w:rPr>
        <w:t>Para qué:</w:t>
      </w:r>
      <w:r>
        <w:t xml:space="preserve"> proteger lo que el banco tiene: la plata de los socios, los datos de los clientes y la reputación de la institución.</w:t>
      </w:r>
    </w:p>
    <w:p>
      <w:pPr>
        <w:pStyle w:val="ListNumber"/>
      </w:pPr>
      <w:r>
        <w:rPr>
          <w:b/>
        </w:rPr>
        <w:t>Qué ganan todos:</w:t>
      </w:r>
      <w:r>
        <w:t xml:space="preserve"> menos incidentes (el banco funciona mejor), auditorías limpias (la URCDP, el BCU y Agesic ven un banco ordenado) y presupuestos mejor fundamentados (cuando hay datos reales, se piden recursos con evidencia y no con buenos deseos).</w:t>
      </w:r>
    </w:p>
    <w:p>
      <w:r>
        <w:t>Cada mensaje que mandes —correo, presentación, minuta— debe poder conectarse con esta frase. Si un mensaje no se conecta, ese mensaje sobra.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Canales y plantillas</w:t>
      </w:r>
    </w:p>
    <w:p>
      <w:r>
        <w:t>Los canales del relevamiento, en orden cronológico: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Canal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Cuándo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</w:tr>
      <w:tr>
        <w:tc>
          <w:tcPr>
            <w:tcW w:type="dxa" w:w="3216"/>
          </w:tcPr>
          <w:p>
            <w:r/>
            <w:r>
              <w:t>Resolución de inicio</w:t>
            </w:r>
          </w:p>
        </w:tc>
        <w:tc>
          <w:tcPr>
            <w:tcW w:type="dxa" w:w="3216"/>
          </w:tcPr>
          <w:p>
            <w:r/>
            <w:r>
              <w:t>Antes de la semana 1</w:t>
            </w:r>
          </w:p>
        </w:tc>
        <w:tc>
          <w:tcPr>
            <w:tcW w:type="dxa" w:w="3216"/>
          </w:tcPr>
          <w:p>
            <w:r/>
            <w:r>
              <w:t>Formaliza el proyecto y el alcance (GV-02).</w:t>
            </w:r>
          </w:p>
        </w:tc>
      </w:tr>
      <w:tr>
        <w:tc>
          <w:tcPr>
            <w:tcW w:type="dxa" w:w="3216"/>
          </w:tcPr>
          <w:p>
            <w:r/>
            <w:r>
              <w:t>Presentación a gerencias</w:t>
            </w:r>
          </w:p>
        </w:tc>
        <w:tc>
          <w:tcPr>
            <w:tcW w:type="dxa" w:w="3216"/>
          </w:tcPr>
          <w:p>
            <w:r/>
            <w:r>
              <w:t>Semana 1-2</w:t>
            </w:r>
          </w:p>
        </w:tc>
        <w:tc>
          <w:tcPr>
            <w:tcW w:type="dxa" w:w="3216"/>
          </w:tcPr>
          <w:p>
            <w:r/>
            <w:r>
              <w:t>Que cada Gerente de Área sepa qué viene y apoye.</w:t>
            </w:r>
          </w:p>
        </w:tc>
      </w:tr>
      <w:tr>
        <w:tc>
          <w:tcPr>
            <w:tcW w:type="dxa" w:w="3216"/>
          </w:tcPr>
          <w:p>
            <w:r/>
            <w:r>
              <w:t>Correo de bienvenida</w:t>
            </w:r>
          </w:p>
        </w:tc>
        <w:tc>
          <w:tcPr>
            <w:tcW w:type="dxa" w:w="3216"/>
          </w:tcPr>
          <w:p>
            <w:r/>
            <w:r>
              <w:t>Por área, antes de su primera reunión</w:t>
            </w:r>
          </w:p>
        </w:tc>
        <w:tc>
          <w:tcPr>
            <w:tcW w:type="dxa" w:w="3216"/>
          </w:tcPr>
          <w:p>
            <w:r/>
            <w:r>
              <w:t>Presenta al RSI, la agenda y qué se pedirá.</w:t>
            </w:r>
          </w:p>
        </w:tc>
      </w:tr>
      <w:tr>
        <w:tc>
          <w:tcPr>
            <w:tcW w:type="dxa" w:w="3216"/>
          </w:tcPr>
          <w:p>
            <w:r/>
            <w:r>
              <w:t>Reunión de lanzamiento (kickoff)</w:t>
            </w:r>
          </w:p>
        </w:tc>
        <w:tc>
          <w:tcPr>
            <w:tcW w:type="dxa" w:w="3216"/>
          </w:tcPr>
          <w:p>
            <w:r/>
            <w:r>
              <w:t>Semana 2-3</w:t>
            </w:r>
          </w:p>
        </w:tc>
        <w:tc>
          <w:tcPr>
            <w:tcW w:type="dxa" w:w="3216"/>
          </w:tcPr>
          <w:p>
            <w:r/>
            <w:r>
              <w:t>Compromiso visible de los sponsors (sección 5).</w:t>
            </w:r>
          </w:p>
        </w:tc>
      </w:tr>
      <w:tr>
        <w:tc>
          <w:tcPr>
            <w:tcW w:type="dxa" w:w="3216"/>
          </w:tcPr>
          <w:p>
            <w:r/>
            <w:r>
              <w:t>Minutas de reunión</w:t>
            </w:r>
          </w:p>
        </w:tc>
        <w:tc>
          <w:tcPr>
            <w:tcW w:type="dxa" w:w="3216"/>
          </w:tcPr>
          <w:p>
            <w:r/>
            <w:r>
              <w:t>Después de cada reunión (RELEV-06)</w:t>
            </w:r>
          </w:p>
        </w:tc>
        <w:tc>
          <w:tcPr>
            <w:tcW w:type="dxa" w:w="3216"/>
          </w:tcPr>
          <w:p>
            <w:r/>
            <w:r>
              <w:t>Registro y compromisos.</w:t>
            </w:r>
          </w:p>
        </w:tc>
      </w:tr>
      <w:tr>
        <w:tc>
          <w:tcPr>
            <w:tcW w:type="dxa" w:w="3216"/>
          </w:tcPr>
          <w:p>
            <w:r/>
            <w:r>
              <w:t>Informe de avance mensual</w:t>
            </w:r>
          </w:p>
        </w:tc>
        <w:tc>
          <w:tcPr>
            <w:tcW w:type="dxa" w:w="3216"/>
          </w:tcPr>
          <w:p>
            <w:r/>
            <w:r>
              <w:t>Último día hábil de cada mes</w:t>
            </w:r>
          </w:p>
        </w:tc>
        <w:tc>
          <w:tcPr>
            <w:tcW w:type="dxa" w:w="3216"/>
          </w:tcPr>
          <w:p>
            <w:r/>
            <w:r>
              <w:t>Rendición de cuentas y desbloqueo.</w:t>
            </w:r>
          </w:p>
        </w:tc>
      </w:tr>
      <w:tr>
        <w:tc>
          <w:tcPr>
            <w:tcW w:type="dxa" w:w="3216"/>
          </w:tcPr>
          <w:p>
            <w:r/>
            <w:r>
              <w:t>Informe trimestral</w:t>
            </w:r>
          </w:p>
        </w:tc>
        <w:tc>
          <w:tcPr>
            <w:tcW w:type="dxa" w:w="3216"/>
          </w:tcPr>
          <w:p>
            <w:r/>
            <w:r>
              <w:t>Cada 3 meses</w:t>
            </w:r>
          </w:p>
        </w:tc>
        <w:tc>
          <w:tcPr>
            <w:tcW w:type="dxa" w:w="3216"/>
          </w:tcPr>
          <w:p>
            <w:r/>
            <w:r>
              <w:t>Síntesis para Directorio y Gerencia.</w:t>
            </w:r>
          </w:p>
        </w:tc>
      </w:tr>
    </w:tbl>
    <w:p>
      <w:pPr>
        <w:pStyle w:val="Heading3"/>
      </w:pPr>
      <w:r>
        <w:rPr>
          <w:color w:val="1F3B63"/>
        </w:rPr>
        <w:t>4.1 Plantilla: correo de bienvenida al área</w:t>
      </w:r>
    </w:p>
    <w:p>
      <w:pPr>
        <w:pStyle w:val="Heading3"/>
      </w:pPr>
      <w:r>
        <w:rPr>
          <w:color w:val="1F3B63"/>
        </w:rPr>
        <w:t>4.2 Plantilla: correo de informe de avance mensual</w:t>
      </w:r>
    </w:p>
    <w:p>
      <w:pPr>
        <w:ind w:left="432"/>
      </w:pPr>
      <w:r>
        <w:rPr>
          <w:i/>
          <w:color w:val="606060"/>
        </w:rPr>
        <w:t>**Regla de la cifra destacada:** en el asunto del correo mensual, una sola cifra ("21 evidencias recibidas", "3 áreas completadas"). La cifra es lo que el Gerente lee de reojo en la bandeja y recuerda en la reunión.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La reunión de lanzamiento (kickoff)</w:t>
      </w:r>
    </w:p>
    <w:p>
      <w:r>
        <w:t>El kickoff es el momento en que el proyecto deja de ser un papel y se vuelve visible. Se convoca con presencia de Gerencia General y de los Gerentes de Área, y dura entre 45 y 60 minutos.</w:t>
      </w:r>
    </w:p>
    <w:p>
      <w:pPr>
        <w:pStyle w:val="Heading3"/>
      </w:pPr>
      <w:r>
        <w:rPr>
          <w:color w:val="1F3B63"/>
        </w:rPr>
        <w:t>5.1 Agenda tipo del kickoff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Tiempo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Quién habla</w:t>
            </w:r>
          </w:p>
        </w:tc>
      </w:tr>
      <w:tr>
        <w:tc>
          <w:tcPr>
            <w:tcW w:type="dxa" w:w="3216"/>
          </w:tcPr>
          <w:p>
            <w:r/>
            <w:r>
              <w:t>5 min</w:t>
            </w:r>
          </w:p>
        </w:tc>
        <w:tc>
          <w:tcPr>
            <w:tcW w:type="dxa" w:w="3216"/>
          </w:tcPr>
          <w:p>
            <w:r/>
            <w:r>
              <w:t>Apertura y respaldo de Gerencia General</w:t>
            </w:r>
          </w:p>
        </w:tc>
        <w:tc>
          <w:tcPr>
            <w:tcW w:type="dxa" w:w="3216"/>
          </w:tcPr>
          <w:p>
            <w:r/>
            <w:r>
              <w:t>Gerente General o sponsor</w:t>
            </w:r>
          </w:p>
        </w:tc>
      </w:tr>
      <w:tr>
        <w:tc>
          <w:tcPr>
            <w:tcW w:type="dxa" w:w="3216"/>
          </w:tcPr>
          <w:p>
            <w:r/>
            <w:r>
              <w:t>10 min</w:t>
            </w:r>
          </w:p>
        </w:tc>
        <w:tc>
          <w:tcPr>
            <w:tcW w:type="dxa" w:w="3216"/>
          </w:tcPr>
          <w:p>
            <w:r/>
            <w:r>
              <w:t>Qué es el relevamiento y para qué (mensaje único)</w:t>
            </w:r>
          </w:p>
        </w:tc>
        <w:tc>
          <w:tcPr>
            <w:tcW w:type="dxa" w:w="3216"/>
          </w:tcPr>
          <w:p>
            <w:r/>
            <w:r>
              <w:t>RSI</w:t>
            </w:r>
          </w:p>
        </w:tc>
      </w:tr>
      <w:tr>
        <w:tc>
          <w:tcPr>
            <w:tcW w:type="dxa" w:w="3216"/>
          </w:tcPr>
          <w:p>
            <w:r/>
            <w:r>
              <w:t>10 min</w:t>
            </w:r>
          </w:p>
        </w:tc>
        <w:tc>
          <w:tcPr>
            <w:tcW w:type="dxa" w:w="3216"/>
          </w:tcPr>
          <w:p>
            <w:r/>
            <w:r>
              <w:t>Alcance: qué áreas, qué se releva, qué se pide</w:t>
            </w:r>
          </w:p>
        </w:tc>
        <w:tc>
          <w:tcPr>
            <w:tcW w:type="dxa" w:w="3216"/>
          </w:tcPr>
          <w:p>
            <w:r/>
            <w:r>
              <w:t>RSI</w:t>
            </w:r>
          </w:p>
        </w:tc>
      </w:tr>
      <w:tr>
        <w:tc>
          <w:tcPr>
            <w:tcW w:type="dxa" w:w="3216"/>
          </w:tcPr>
          <w:p>
            <w:r/>
            <w:r>
              <w:t>10 min</w:t>
            </w:r>
          </w:p>
        </w:tc>
        <w:tc>
          <w:tcPr>
            <w:tcW w:type="dxa" w:w="3216"/>
          </w:tcPr>
          <w:p>
            <w:r/>
            <w:r>
              <w:t>Calendario de 12 semanas y compromisos de cada área</w:t>
            </w:r>
          </w:p>
        </w:tc>
        <w:tc>
          <w:tcPr>
            <w:tcW w:type="dxa" w:w="3216"/>
          </w:tcPr>
          <w:p>
            <w:r/>
            <w:r>
              <w:t>RSI + sponsors</w:t>
            </w:r>
          </w:p>
        </w:tc>
      </w:tr>
      <w:tr>
        <w:tc>
          <w:tcPr>
            <w:tcW w:type="dxa" w:w="3216"/>
          </w:tcPr>
          <w:p>
            <w:r/>
            <w:r>
              <w:t>10 min</w:t>
            </w:r>
          </w:p>
        </w:tc>
        <w:tc>
          <w:tcPr>
            <w:tcW w:type="dxa" w:w="3216"/>
          </w:tcPr>
          <w:p>
            <w:r/>
            <w:r>
              <w:t>Qué recibe cada área (minutas, resúmenes, prioridades)</w:t>
            </w:r>
          </w:p>
        </w:tc>
        <w:tc>
          <w:tcPr>
            <w:tcW w:type="dxa" w:w="3216"/>
          </w:tcPr>
          <w:p>
            <w:r/>
            <w:r>
              <w:t>RSI</w:t>
            </w:r>
          </w:p>
        </w:tc>
      </w:tr>
      <w:tr>
        <w:tc>
          <w:tcPr>
            <w:tcW w:type="dxa" w:w="3216"/>
          </w:tcPr>
          <w:p>
            <w:r/>
            <w:r>
              <w:t>10 min</w:t>
            </w:r>
          </w:p>
        </w:tc>
        <w:tc>
          <w:tcPr>
            <w:tcW w:type="dxa" w:w="3216"/>
          </w:tcPr>
          <w:p>
            <w:r/>
            <w:r>
              <w:t>Preguntas y compromiso formal</w:t>
            </w:r>
          </w:p>
        </w:tc>
        <w:tc>
          <w:tcPr>
            <w:tcW w:type="dxa" w:w="3216"/>
          </w:tcPr>
          <w:p>
            <w:r/>
            <w:r>
              <w:t>Todos</w:t>
            </w:r>
          </w:p>
        </w:tc>
      </w:tr>
    </w:tbl>
    <w:p>
      <w:pPr>
        <w:pStyle w:val="Heading3"/>
      </w:pPr>
      <w:r>
        <w:rPr>
          <w:color w:val="1F3B63"/>
        </w:rPr>
        <w:t>5.2 Guion palabra por palabra para las gerencias</w:t>
      </w:r>
    </w:p>
    <w:p>
      <w:pPr>
        <w:pStyle w:val="Heading3"/>
      </w:pPr>
      <w:r>
        <w:rPr>
          <w:color w:val="1F3B63"/>
        </w:rPr>
        <w:t>5.3 Cómo pedir el compromiso</w:t>
      </w:r>
    </w:p>
    <w:p>
      <w:r>
        <w:t xml:space="preserve">El compromiso no se pide en general: se pide </w:t>
      </w:r>
      <w:r>
        <w:rPr>
          <w:b/>
        </w:rPr>
        <w:t>por nombre y por fecha</w:t>
      </w:r>
      <w:r>
        <w:t>. En el kickoff: "Sr. [nombre], de su área vamos a necesitar que el referente sea [nombre] y que la primera reunión sea la semana del [fecha]. ¿Podemos contar con eso?" El compromiso público ante Gerencia General es el mejor seguro de colaboración.</w:t>
      </w:r>
    </w:p>
    <w:p>
      <w:pPr>
        <w:pStyle w:val="Heading3"/>
      </w:pPr>
      <w:r>
        <w:rPr>
          <w:color w:val="1F3B63"/>
        </w:rPr>
        <w:t>5.4 Cómo responder la resistencia</w:t>
      </w:r>
    </w:p>
    <w:p>
      <w:r>
        <w:t xml:space="preserve">Ante la pregunta clásica "¿para qué nos hacen perder tiempo?", la respuesta no es defenderse: es </w:t>
      </w:r>
      <w:r>
        <w:rPr>
          <w:b/>
        </w:rPr>
        <w:t>tener la conversación ya ensayada</w:t>
      </w:r>
      <w:r>
        <w:t>: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Cómo manejar la resistencia</w:t>
      </w:r>
    </w:p>
    <w:p>
      <w:r>
        <w:t>La resistencia no se elimina: se entiende y se trabaja. Los cuatro pasos:</w:t>
      </w:r>
    </w:p>
    <w:p>
      <w:pPr>
        <w:pStyle w:val="Heading3"/>
      </w:pPr>
      <w:r>
        <w:rPr>
          <w:color w:val="1F3B63"/>
        </w:rPr>
        <w:t>6.1 Escuchar primero</w:t>
      </w:r>
    </w:p>
    <w:p>
      <w:r>
        <w:t>Antes de explicar, preguntá. "¿Qué es lo que más le preocupa de este relevamiento?" El 80 % de las veces la respuesta es una de tres: miedo a ser auditado, miedo a que los datos se usen en su contra o miedo a que el trabajo extra no se reconozca. Escuchar convierte una discusión en una conversación.</w:t>
      </w:r>
    </w:p>
    <w:p>
      <w:pPr>
        <w:pStyle w:val="Heading3"/>
      </w:pPr>
      <w:r>
        <w:rPr>
          <w:color w:val="1F3B63"/>
        </w:rPr>
        <w:t>6.2 Explicar el beneficio</w:t>
      </w:r>
    </w:p>
    <w:p>
      <w:r>
        <w:t>Cada resistencia tiene su antídoto en el mensaje único: "no es auditoría, es foto"; "ustedes salen mejor cuando la foto es completa"; "lo que se detecta se prioriza juntos y con plazos negociados".</w:t>
      </w:r>
    </w:p>
    <w:p>
      <w:pPr>
        <w:pStyle w:val="Heading3"/>
      </w:pPr>
      <w:r>
        <w:rPr>
          <w:color w:val="1F3B63"/>
        </w:rPr>
        <w:t>6.3 Mostrar pilotos exitosos</w:t>
      </w:r>
    </w:p>
    <w:p>
      <w:r>
        <w:t>Nada convence como un caso real del mismo banco. Si la División de Pagos ya completó el relevamiento, mostralo en el kickoff y en las reuniones: "Pagos ya lo hizo en dos semanas y encontró tres procedimientos que estaban por fuera del manual. Eso es exactamente lo que buscamos". El ejemplo de un par vale más que diez argumentos.</w:t>
      </w:r>
    </w:p>
    <w:p>
      <w:pPr>
        <w:pStyle w:val="Heading3"/>
      </w:pPr>
      <w:r>
        <w:rPr>
          <w:color w:val="1F3B63"/>
        </w:rPr>
        <w:t>6.4 Conseguir embajadores internos</w:t>
      </w:r>
    </w:p>
    <w:p>
      <w:r>
        <w:t xml:space="preserve">En cada área, identificá a la persona que entiende el valor y que su propio equipo respeta. Esa persona es tu </w:t>
      </w:r>
      <w:r>
        <w:rPr>
          <w:b/>
        </w:rPr>
        <w:t>embajador interno</w:t>
      </w:r>
      <w:r>
        <w:t>: no habla por vos, habla por su área, y su mensaje llega con otra credibilidad. Los embajadores se cultivan con reconocimiento (sección 7) y con resultados.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Dar crédito: la reciprocidad como motor</w:t>
      </w:r>
    </w:p>
    <w:p>
      <w:r>
        <w:t>El relevamiento se alimenta de colaboración voluntaria: nadie está obligado a explicarte un proceso con buena onda. El crédito es la moneda de cambio. Reglas:</w:t>
      </w:r>
    </w:p>
    <w:p>
      <w:pPr>
        <w:pStyle w:val="ListBullet"/>
      </w:pPr>
      <w:r>
        <w:rPr>
          <w:b/>
        </w:rPr>
        <w:t>Nombrá a las áreas en los informes</w:t>
      </w:r>
      <w:r>
        <w:t>: "el inventario de activos fue posible por el aporte de la División TI". Un informe que nombra es un informe que genera deuda positiva.</w:t>
      </w:r>
    </w:p>
    <w:p>
      <w:pPr>
        <w:pStyle w:val="ListBullet"/>
      </w:pPr>
      <w:r>
        <w:rPr>
          <w:b/>
        </w:rPr>
        <w:t>Devolvé el resumen</w:t>
      </w:r>
      <w:r>
        <w:t>: lo que relevás de un área se le devuelve como resumen. El área que recibe algo concreto vuelve a colaborar.</w:t>
      </w:r>
    </w:p>
    <w:p>
      <w:pPr>
        <w:pStyle w:val="ListBullet"/>
      </w:pPr>
      <w:r>
        <w:rPr>
          <w:b/>
        </w:rPr>
        <w:t>Agradecé en el canal que cuenta</w:t>
      </w:r>
      <w:r>
        <w:t>: el agradecimiento con copia al Gerente de Área o al Director vale más que el agradecimiento en privado.</w:t>
      </w:r>
    </w:p>
    <w:p>
      <w:pPr>
        <w:pStyle w:val="ListBullet"/>
      </w:pPr>
      <w:r>
        <w:rPr>
          <w:b/>
        </w:rPr>
        <w:t>El crédito se da sin esperar</w:t>
      </w:r>
      <w:r>
        <w:t>: la reciprocidad no es un trato ("te nombro si me das esto"), es una cultura. La que da primero el crédito termina recibiendo más colaboración.</w:t>
      </w:r>
    </w:p>
    <w:p>
      <w:pPr>
        <w:ind w:left="432"/>
      </w:pPr>
      <w:r>
        <w:rPr>
          <w:i/>
          <w:color w:val="606060"/>
        </w:rPr>
        <w:t>**El motor de la reciprocidad:** los funcionarios del Banco tienen memoria institucional larga. El referente que hoy te abrió las puertas va a recordar cómo lo trataste cuando la segunda vuelta (RELEV-11) requiera otra vez su tiempo. Tratá al área como la valora: con respeto, con agenda y con crédito.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Errores comunes</w:t>
      </w:r>
    </w:p>
    <w:p>
      <w:pPr>
        <w:pStyle w:val="ListBullet"/>
      </w:pPr>
      <w:r>
        <w:rPr>
          <w:b/>
        </w:rPr>
        <w:t>Comunicar solo al inicio</w:t>
      </w:r>
      <w:r>
        <w:t>: mandar el correo de bienvenida y desaparecer por tres meses. El proyecto muere en silencio, igual que el barco sin radio.</w:t>
      </w:r>
    </w:p>
    <w:p>
      <w:pPr>
        <w:pStyle w:val="ListBullet"/>
      </w:pPr>
      <w:r>
        <w:rPr>
          <w:b/>
        </w:rPr>
        <w:t>Usar jerga técnica con el negocio</w:t>
      </w:r>
      <w:r>
        <w:t>: "requisito de ID.RA", "controles compensatorios", "ROPA" dichos sin traducción. El negocio se cierra al mensaje que no entiende.</w:t>
      </w:r>
    </w:p>
    <w:p>
      <w:pPr>
        <w:pStyle w:val="ListBullet"/>
      </w:pPr>
      <w:r>
        <w:rPr>
          <w:b/>
        </w:rPr>
        <w:t>No dar crédito</w:t>
      </w:r>
      <w:r>
        <w:t>: publicar resultados sin nombrar a nadie. La colaboración es escasa y los informes "anónimos" generan apatía.</w:t>
      </w:r>
    </w:p>
    <w:p>
      <w:pPr>
        <w:pStyle w:val="ListBullet"/>
      </w:pPr>
      <w:r>
        <w:rPr>
          <w:b/>
        </w:rPr>
        <w:t>Prometer sin cumplir</w:t>
      </w:r>
      <w:r>
        <w:t>: prometer minutas y resúmenes y no entregarlos. Una promesa incumplida del RSI cuesta más que diez correos de recordatorio.</w:t>
      </w:r>
    </w:p>
    <w:p>
      <w:pPr>
        <w:pStyle w:val="ListBullet"/>
      </w:pPr>
      <w:r>
        <w:rPr>
          <w:b/>
        </w:rPr>
        <w:t>No reportar avances</w:t>
      </w:r>
      <w:r>
        <w:t>: el Comité y la Gerencia no saben cómo va el proyecto y dejan de defenderlo. El informe mensual no es opcional.</w:t>
      </w:r>
    </w:p>
    <w:p>
      <w:pPr>
        <w:pStyle w:val="ListBullet"/>
      </w:pPr>
      <w:r>
        <w:rPr>
          <w:b/>
        </w:rPr>
        <w:t>Comunicar miedo</w:t>
      </w:r>
      <w:r>
        <w:t>: "vino la URCDP y hay que apurarse" genera resistencia y pánico. El marco siempre es positivo: proteger y ordenar, no salvarse de una multa.</w:t>
      </w:r>
    </w:p>
    <w:p>
      <w:pPr>
        <w:pStyle w:val="ListBullet"/>
      </w:pPr>
      <w:r>
        <w:rPr>
          <w:b/>
        </w:rPr>
        <w:t>Ignorar a los funcionarios</w:t>
      </w:r>
      <w:r>
        <w:t>: comunicar solo hacia arriba. El que ve un correo sospechoso o detecta un dato mal guardado es el funcionario: sin él no hay PR.AT ni defensa real.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GV-01, GV-06, RC-03, PR-02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