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AISEC-00 · Índice y Mapa del Curso</w:t>
      </w:r>
    </w:p>
    <w:p>
      <w:pPr>
        <w:ind w:left="432"/>
      </w:pPr>
      <w:r>
        <w:rPr>
          <w:i/>
          <w:color w:val="606060"/>
        </w:rPr>
        <w:t>**Función del MCU 5.0:** Este curso ejecuta en la práctica las funciones Proteger (PR), Detectar (DE) y Responder (RS) del Marco de Ciberseguridad de Agesic 5.0 aplicadas al uso de inteligencia artificial generativa: sin controles claros sobre qué datos ingresan a una herramienta de IA, dónde se procesan y quién revisa los resultados, no hay uso seguro ni auditable.</w:t>
      </w:r>
    </w:p>
    <w:p>
      <w:pPr>
        <w:ind w:left="432"/>
      </w:pPr>
      <w:r>
        <w:rPr>
          <w:i/>
          <w:color w:val="606060"/>
        </w:rPr>
        <w:t>**ISO/IEC 27001:** El curso se vincula a los controles del Anexo A sobre gestión de activos (A.5.9), control de acceso (A.5.15), seguridad de las comunicaciones (A.8), protección contra fugas (A.8.12 prevención de fuga de datos), gestión de incidentes (A.5.24) y cumplimiento (A.5.31/A.5.34). Complementa la **ISO/IEC 42001** (sistema de gestión de la IA) como referencia de gobernanza de sistemas de IA.</w:t>
      </w:r>
    </w:p>
    <w:p>
      <w:pPr>
        <w:ind w:left="432"/>
      </w:pPr>
      <w:r>
        <w:rPr>
          <w:i/>
          <w:color w:val="606060"/>
        </w:rPr>
        <w:t>**BCU:** El uso de IA debe quedar documentado en los Estándares Mínimos de Gestión (EMG) y en el RNRCSF: qué herramientas están autorizadas, quién las usa, qué datos pueden recibir y cómo se audita.</w:t>
      </w:r>
    </w:p>
    <w:p>
      <w:pPr>
        <w:ind w:left="432"/>
      </w:pPr>
      <w:r>
        <w:rPr>
          <w:i/>
          <w:color w:val="606060"/>
        </w:rPr>
        <w:t>**URCDP:** Este es el corazón normativo del curso: la Ley 18.331 y su reglamentación (Decreto 414/009, Decreto 64/020), la Ley 19.670, el Decreto 66/025 y los requisitos PD.1-PD.8 del MCU 5.0 prohíben tratar datos personales con herramientas que no ofrezcan garantías de seguridad, trazabilidad y minimización.</w:t>
      </w:r>
    </w:p>
    <w:p>
      <w:pPr>
        <w:ind w:left="432"/>
      </w:pPr>
      <w:r>
        <w:rPr>
          <w:i/>
          <w:color w:val="606060"/>
        </w:rPr>
        <w:t>**Decreto 66/025:** Obliga al RSI a conocer qué herramientas de IA se usan en la institución, qué datos procesan y a reportar incidentes asociados a ellas al CERTuy cuando corresponda.</w:t>
      </w:r>
    </w:p>
    <w:p>
      <w:pPr>
        <w:ind w:left="432"/>
      </w:pPr>
      <w:r>
        <w:rPr>
          <w:i/>
          <w:color w:val="606060"/>
        </w:rPr>
        <w:t>**Nivel del curso:** 🟢 Descubrir · 🟡 Practicar ·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Presentación del curso</w:t>
      </w:r>
    </w:p>
    <w:p>
      <w:r>
        <w:t xml:space="preserve">Bienvenido al curso </w:t>
      </w:r>
      <w:r>
        <w:rPr>
          <w:b/>
        </w:rPr>
        <w:t>"Inteligencia artificial y ciberseguridad: usar la IA bien, sin filtrar nada"</w:t>
      </w:r>
      <w:r>
        <w:t xml:space="preserve">. Vive en la carpeta </w:t>
      </w:r>
      <w:r>
        <w:rPr>
          <w:rFonts w:ascii="Consolas" w:hAnsi="Consolas"/>
          <w:sz w:val="20"/>
        </w:rPr>
        <w:t>curso-ia-segura</w:t>
      </w:r>
      <w:r>
        <w:t xml:space="preserve"> y forma parte del kit </w:t>
      </w:r>
      <w:r>
        <w:rPr>
          <w:b/>
        </w:rPr>
        <w:t>Banco-Inicia</w:t>
      </w:r>
      <w:r>
        <w:t>.</w:t>
      </w:r>
    </w:p>
    <w:p>
      <w:r>
        <w:t xml:space="preserve">La premisa de este curso es honesta y realista: </w:t>
      </w:r>
      <w:r>
        <w:rPr>
          <w:b/>
        </w:rPr>
        <w:t>la gente va a usar IA</w:t>
      </w:r>
      <w:r>
        <w:t xml:space="preserve">. Los 300 funcionarios del Banco van a querer escribir correos más rápido, resumir documentos, generar código, analizar reportes y pedir ideas. Si la institución no ofrece una herramienta segura, el personal </w:t>
      </w:r>
      <w:r>
        <w:rPr>
          <w:b/>
        </w:rPr>
        <w:t>de todas formas la va a buscar</w:t>
      </w:r>
      <w:r>
        <w:t xml:space="preserve"> — y ahí es donde aparece el riesgo: cuentas personales de ChatGPT, copiar y pegar datos de clientes en sitios web sin control, subir expedientes completos a servicios extranjeros de los que no tenemos ninguna garantía.</w:t>
      </w:r>
    </w:p>
    <w:p>
      <w:r>
        <w:t>Por eso este curso no intenta prohibir la IA. Intenta hacer cuatro cosas:</w:t>
      </w:r>
    </w:p>
    <w:p>
      <w:pPr>
        <w:pStyle w:val="ListNumber"/>
      </w:pPr>
      <w:r>
        <w:rPr>
          <w:b/>
        </w:rPr>
        <w:t>Explicar qué es realmente</w:t>
      </w:r>
      <w:r>
        <w:t xml:space="preserve"> un modelo de lenguaje (un LLM): cómo funciona por dentro, de dónde viene su "saber" y por qué puede equivocarse.</w:t>
      </w:r>
    </w:p>
    <w:p>
      <w:pPr>
        <w:pStyle w:val="ListNumber"/>
      </w:pPr>
      <w:r>
        <w:rPr>
          <w:b/>
        </w:rPr>
        <w:t>Mostrar las herramientas seguras</w:t>
      </w:r>
      <w:r>
        <w:t xml:space="preserve"> que el Banco pone a disposición (agentes de código como OpenCode, interfaces amigables como BigPickle, modelos locales con Ollama y servidores de inferencia como vLLM) y cómo usarlas </w:t>
      </w:r>
      <w:r>
        <w:rPr>
          <w:b/>
        </w:rPr>
        <w:t>sin fuga de información</w:t>
      </w:r>
      <w:r>
        <w:t>.</w:t>
      </w:r>
    </w:p>
    <w:p>
      <w:pPr>
        <w:pStyle w:val="ListNumber"/>
      </w:pPr>
      <w:r>
        <w:rPr>
          <w:b/>
        </w:rPr>
        <w:t>Explicar la ley</w:t>
      </w:r>
      <w:r>
        <w:t>: qué dice la normativa uruguaya sobre tratar datos con IA, y qué pasa si copiamos datos de clientes a una herramienta no autorizada.</w:t>
      </w:r>
    </w:p>
    <w:p>
      <w:pPr>
        <w:pStyle w:val="ListNumber"/>
      </w:pPr>
      <w:r>
        <w:rPr>
          <w:b/>
        </w:rPr>
        <w:t>Hacer la adopción amigable</w:t>
      </w:r>
      <w:r>
        <w:t>: guías por perfil (mails, consultas, programación, documentación, seguridad, otros), plantillas de prompts seguros, y un plan de capacitación para 300 funcionarios que evite la tentación de usar herramientas externas.</w:t>
      </w:r>
    </w:p>
    <w:p>
      <w:r>
        <w:t xml:space="preserve">La idea central es simple: </w:t>
      </w:r>
      <w:r>
        <w:rPr>
          <w:b/>
        </w:rPr>
        <w:t>la IA no es el problema; la IA sin controles es el problema</w:t>
      </w:r>
      <w:r>
        <w:t>. Herramienta segura + dato clasificado + revisión humana + evidencia = IA que ayuda. Herramienta anónima + dato de cliente + nadie revisa = incidente de URCDP.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Para quién es este curso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Perfil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Por qué le sirve</w:t>
            </w:r>
          </w:p>
        </w:tc>
      </w:tr>
      <w:tr>
        <w:tc>
          <w:tcPr>
            <w:tcW w:type="dxa" w:w="4824"/>
          </w:tcPr>
          <w:p>
            <w:r/>
            <w:r>
              <w:t>Todos los funcionarios (300 personas)</w:t>
            </w:r>
          </w:p>
        </w:tc>
        <w:tc>
          <w:tcPr>
            <w:tcW w:type="dxa" w:w="4824"/>
          </w:tcPr>
          <w:p>
            <w:r/>
            <w:r>
              <w:t>Aprender a usar la herramienta oficial de IA del Banco sin fugar datos, con ejemplos de su propio trabajo diario.</w:t>
            </w:r>
          </w:p>
        </w:tc>
      </w:tr>
      <w:tr>
        <w:tc>
          <w:tcPr>
            <w:tcW w:type="dxa" w:w="4824"/>
          </w:tcPr>
          <w:p>
            <w:r/>
            <w:r>
              <w:t>Responsables de Seguridad de la Información (RSI)</w:t>
            </w:r>
          </w:p>
        </w:tc>
        <w:tc>
          <w:tcPr>
            <w:tcW w:type="dxa" w:w="4824"/>
          </w:tcPr>
          <w:p>
            <w:r/>
            <w:r>
              <w:t>Conocer los riesgos reales de los LLM (fuga, prompt injection, alucinaciones), cómo controlarlos y cómo demostrar cumplimiento ante Agesic, BCU y URCDP.</w:t>
            </w:r>
          </w:p>
        </w:tc>
      </w:tr>
      <w:tr>
        <w:tc>
          <w:tcPr>
            <w:tcW w:type="dxa" w:w="4824"/>
          </w:tcPr>
          <w:p>
            <w:r/>
            <w:r>
              <w:t>Personal de TI / Desarrollo</w:t>
            </w:r>
          </w:p>
        </w:tc>
        <w:tc>
          <w:tcPr>
            <w:tcW w:type="dxa" w:w="4824"/>
          </w:tcPr>
          <w:p>
            <w:r/>
            <w:r>
              <w:t>Configurar las herramientas (Ollama, vLLM, OpenCode), implementar el RAG seguro y mantener la evidencia técnica.</w:t>
            </w:r>
          </w:p>
        </w:tc>
      </w:tr>
      <w:tr>
        <w:tc>
          <w:tcPr>
            <w:tcW w:type="dxa" w:w="4824"/>
          </w:tcPr>
          <w:p>
            <w:r/>
            <w:r>
              <w:t>Oficiales y personal administrativo</w:t>
            </w:r>
          </w:p>
        </w:tc>
        <w:tc>
          <w:tcPr>
            <w:tcW w:type="dxa" w:w="4824"/>
          </w:tcPr>
          <w:p>
            <w:r/>
            <w:r>
              <w:t>Saber qué datos sí y qué datos no pueden pegar en una IA, y cómo redactar prompts seguros.</w:t>
            </w:r>
          </w:p>
        </w:tc>
      </w:tr>
      <w:tr>
        <w:tc>
          <w:tcPr>
            <w:tcW w:type="dxa" w:w="4824"/>
          </w:tcPr>
          <w:p>
            <w:r/>
            <w:r>
              <w:t>Personal de riesgo y cumplimiento</w:t>
            </w:r>
          </w:p>
        </w:tc>
        <w:tc>
          <w:tcPr>
            <w:tcW w:type="dxa" w:w="4824"/>
          </w:tcPr>
          <w:p>
            <w:r/>
            <w:r>
              <w:t>Entender el marco normativo (Ley 18.331, MCU 5.0 PD/CN, Ley 20.212 art. 74) y las excepciones autorizadas.</w:t>
            </w:r>
          </w:p>
        </w:tc>
      </w:tr>
    </w:tbl>
    <w:p>
      <w:pPr>
        <w:pStyle w:val="Heading3"/>
      </w:pPr>
      <w:r>
        <w:rPr>
          <w:color w:val="1F3B63"/>
        </w:rPr>
        <w:t>Qué vas a saber al terminar</w:t>
      </w:r>
    </w:p>
    <w:p>
      <w:pPr>
        <w:pStyle w:val="ListBullet"/>
      </w:pPr>
      <w:r>
        <w:t xml:space="preserve">Qué es un LLM, por qué puede "inventar" y por qué lo que usted escribe </w:t>
      </w:r>
      <w:r>
        <w:rPr>
          <w:b/>
        </w:rPr>
        <w:t>queda registrado</w:t>
      </w:r>
      <w:r>
        <w:t>.</w:t>
      </w:r>
    </w:p>
    <w:p>
      <w:pPr>
        <w:pStyle w:val="ListBullet"/>
      </w:pPr>
      <w:r>
        <w:t xml:space="preserve">Cuáles son las herramientas oficiales del Banco y cuáles </w:t>
      </w:r>
      <w:r>
        <w:rPr>
          <w:b/>
        </w:rPr>
        <w:t>no se pueden usar</w:t>
      </w:r>
      <w:r>
        <w:t xml:space="preserve"> (cuentas personales en internet).</w:t>
      </w:r>
    </w:p>
    <w:p>
      <w:pPr>
        <w:pStyle w:val="ListBullet"/>
      </w:pPr>
      <w:r>
        <w:t xml:space="preserve">Cómo funciona un </w:t>
      </w:r>
      <w:r>
        <w:rPr>
          <w:b/>
        </w:rPr>
        <w:t>RAG</w:t>
      </w:r>
      <w:r>
        <w:t xml:space="preserve"> y por qué permite consultar los documentos del Banco sin entrenar a nadie con ellos.</w:t>
      </w:r>
    </w:p>
    <w:p>
      <w:pPr>
        <w:pStyle w:val="ListBullet"/>
      </w:pPr>
      <w:r>
        <w:t>Qué dice la ley uruguaya sobre IA y datos personales, y qué pasa si la incumplimos.</w:t>
      </w:r>
    </w:p>
    <w:p>
      <w:pPr>
        <w:pStyle w:val="ListBullet"/>
      </w:pPr>
      <w:r>
        <w:t>Cómo redactar prompts seguros para correos, consultas, código, documentos y seguridad.</w:t>
      </w:r>
    </w:p>
    <w:p>
      <w:pPr>
        <w:pStyle w:val="ListBullet"/>
      </w:pPr>
      <w:r>
        <w:t>Qué debe hacer un RSI para auditar el uso de IA y presentar evidencia.</w:t>
      </w:r>
    </w:p>
    <w:p>
      <w:pPr>
        <w:pStyle w:val="ListBullet"/>
      </w:pPr>
      <w:r>
        <w:t>El plan para que 300 funcionarios adopten la IA segura sin miedo y sin atajos.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Los 15 módulos del curso</w:t>
      </w:r>
    </w:p>
    <w:p>
      <w:r>
        <w:t xml:space="preserve">El curso tiene </w:t>
      </w:r>
      <w:r>
        <w:rPr>
          <w:b/>
        </w:rPr>
        <w:t>15 módulos</w:t>
      </w:r>
      <w:r>
        <w:t xml:space="preserve">, numerados de </w:t>
      </w:r>
      <w:r>
        <w:rPr>
          <w:b/>
        </w:rPr>
        <w:t>AISEC-00</w:t>
      </w:r>
      <w:r>
        <w:t xml:space="preserve"> a </w:t>
      </w:r>
      <w:r>
        <w:rPr>
          <w:b/>
        </w:rPr>
        <w:t>AISEC-14</w:t>
      </w:r>
      <w:r>
        <w:t>. Esta es la tabla general: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Tema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Nivel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Plantillas / documentos del kit relacionados</w:t>
            </w:r>
          </w:p>
        </w:tc>
      </w:tr>
      <w:tr>
        <w:tc>
          <w:tcPr>
            <w:tcW w:type="dxa" w:w="2412"/>
          </w:tcPr>
          <w:p>
            <w:r/>
            <w:r>
              <w:t>AISEC-00</w:t>
            </w:r>
          </w:p>
        </w:tc>
        <w:tc>
          <w:tcPr>
            <w:tcW w:type="dxa" w:w="2412"/>
          </w:tcPr>
          <w:p>
            <w:r/>
            <w:r>
              <w:t>Índice y mapa del curso</w:t>
            </w:r>
          </w:p>
        </w:tc>
        <w:tc>
          <w:tcPr>
            <w:tcW w:type="dxa" w:w="2412"/>
          </w:tcPr>
          <w:p>
            <w:r/>
            <w:r>
              <w:t>🟢</w:t>
            </w:r>
          </w:p>
        </w:tc>
        <w:tc>
          <w:tcPr>
            <w:tcW w:type="dxa" w:w="2412"/>
          </w:tcPr>
          <w:p>
            <w:r/>
            <w:r>
              <w:t>Todos (es la puerta de entrada)</w:t>
            </w:r>
          </w:p>
        </w:tc>
      </w:tr>
      <w:tr>
        <w:tc>
          <w:tcPr>
            <w:tcW w:type="dxa" w:w="2412"/>
          </w:tcPr>
          <w:p>
            <w:r/>
            <w:r>
              <w:t>AISEC-01</w:t>
            </w:r>
          </w:p>
        </w:tc>
        <w:tc>
          <w:tcPr>
            <w:tcW w:type="dxa" w:w="2412"/>
          </w:tcPr>
          <w:p>
            <w:r/>
            <w:r>
              <w:t>¿Qué es la IA generativa y qué es un LLM?</w:t>
            </w:r>
          </w:p>
        </w:tc>
        <w:tc>
          <w:tcPr>
            <w:tcW w:type="dxa" w:w="2412"/>
          </w:tcPr>
          <w:p>
            <w:r/>
            <w:r>
              <w:t>🟢</w:t>
            </w:r>
          </w:p>
        </w:tc>
        <w:tc>
          <w:tcPr>
            <w:tcW w:type="dxa" w:w="2412"/>
          </w:tcPr>
          <w:p>
            <w:r/>
            <w:r>
              <w:t>VPOL-07 (templates-ISACA-02 AI Acceptable Use)</w:t>
            </w:r>
          </w:p>
        </w:tc>
      </w:tr>
      <w:tr>
        <w:tc>
          <w:tcPr>
            <w:tcW w:type="dxa" w:w="2412"/>
          </w:tcPr>
          <w:p>
            <w:r/>
            <w:r>
              <w:t>AISEC-02</w:t>
            </w:r>
          </w:p>
        </w:tc>
        <w:tc>
          <w:tcPr>
            <w:tcW w:type="dxa" w:w="2412"/>
          </w:tcPr>
          <w:p>
            <w:r/>
            <w:r>
              <w:t>Marco normativo uruguayo de IA y datos personales</w:t>
            </w:r>
          </w:p>
        </w:tc>
        <w:tc>
          <w:tcPr>
            <w:tcW w:type="dxa" w:w="2412"/>
          </w:tcPr>
          <w:p>
            <w:r/>
            <w:r>
              <w:t>🟡</w:t>
            </w:r>
          </w:p>
        </w:tc>
        <w:tc>
          <w:tcPr>
            <w:tcW w:type="dxa" w:w="2412"/>
          </w:tcPr>
          <w:p>
            <w:r/>
            <w:r>
              <w:t>MATRIZ-BCU-EMG, URCDP-01, PD.1-PD.8, CN.1-CN.3</w:t>
            </w:r>
          </w:p>
        </w:tc>
      </w:tr>
      <w:tr>
        <w:tc>
          <w:tcPr>
            <w:tcW w:type="dxa" w:w="2412"/>
          </w:tcPr>
          <w:p>
            <w:r/>
            <w:r>
              <w:t>AISEC-03</w:t>
            </w:r>
          </w:p>
        </w:tc>
        <w:tc>
          <w:tcPr>
            <w:tcW w:type="dxa" w:w="2412"/>
          </w:tcPr>
          <w:p>
            <w:r/>
            <w:r>
              <w:t>Cómo funcionan OpenCode, BigPickle, Ollama y vLLM</w:t>
            </w:r>
          </w:p>
        </w:tc>
        <w:tc>
          <w:tcPr>
            <w:tcW w:type="dxa" w:w="2412"/>
          </w:tcPr>
          <w:p>
            <w:r/>
            <w:r>
              <w:t>🟡</w:t>
            </w:r>
          </w:p>
        </w:tc>
        <w:tc>
          <w:tcPr>
            <w:tcW w:type="dxa" w:w="2412"/>
          </w:tcPr>
          <w:p>
            <w:r/>
            <w:r>
              <w:t>PR-06, ID-01, GV-02</w:t>
            </w:r>
          </w:p>
        </w:tc>
      </w:tr>
      <w:tr>
        <w:tc>
          <w:tcPr>
            <w:tcW w:type="dxa" w:w="2412"/>
          </w:tcPr>
          <w:p>
            <w:r/>
            <w:r>
              <w:t>AISEC-04</w:t>
            </w:r>
          </w:p>
        </w:tc>
        <w:tc>
          <w:tcPr>
            <w:tcW w:type="dxa" w:w="2412"/>
          </w:tcPr>
          <w:p>
            <w:r/>
            <w:r>
              <w:t>RAG: consultar los documentos del Banco sin fugar nada</w:t>
            </w:r>
          </w:p>
        </w:tc>
        <w:tc>
          <w:tcPr>
            <w:tcW w:type="dxa" w:w="2412"/>
          </w:tcPr>
          <w:p>
            <w:r/>
            <w:r>
              <w:t>🟡-&gt;🔴</w:t>
            </w:r>
          </w:p>
        </w:tc>
        <w:tc>
          <w:tcPr>
            <w:tcW w:type="dxa" w:w="2412"/>
          </w:tcPr>
          <w:p>
            <w:r/>
            <w:r>
              <w:t>PR-07, URCDP-05, templates-ISACA-07</w:t>
            </w:r>
          </w:p>
        </w:tc>
      </w:tr>
      <w:tr>
        <w:tc>
          <w:tcPr>
            <w:tcW w:type="dxa" w:w="2412"/>
          </w:tcPr>
          <w:p>
            <w:r/>
            <w:r>
              <w:t>AISEC-05</w:t>
            </w:r>
          </w:p>
        </w:tc>
        <w:tc>
          <w:tcPr>
            <w:tcW w:type="dxa" w:w="2412"/>
          </w:tcPr>
          <w:p>
            <w:r/>
            <w:r>
              <w:t>Riesgos reales: fuga, prompt injection, alucinaciones y shadow IA</w:t>
            </w:r>
          </w:p>
        </w:tc>
        <w:tc>
          <w:tcPr>
            <w:tcW w:type="dxa" w:w="2412"/>
          </w:tcPr>
          <w:p>
            <w:r/>
            <w:r>
              <w:t>🔴</w:t>
            </w:r>
          </w:p>
        </w:tc>
        <w:tc>
          <w:tcPr>
            <w:tcW w:type="dxa" w:w="2412"/>
          </w:tcPr>
          <w:p>
            <w:r/>
            <w:r>
              <w:t>DE-01, DE-03, RS-02, templates-ISACA-09</w:t>
            </w:r>
          </w:p>
        </w:tc>
      </w:tr>
      <w:tr>
        <w:tc>
          <w:tcPr>
            <w:tcW w:type="dxa" w:w="2412"/>
          </w:tcPr>
          <w:p>
            <w:r/>
            <w:r>
              <w:t>AISEC-06</w:t>
            </w:r>
          </w:p>
        </w:tc>
        <w:tc>
          <w:tcPr>
            <w:tcW w:type="dxa" w:w="2412"/>
          </w:tcPr>
          <w:p>
            <w:r/>
            <w:r>
              <w:t>Reglas de oro: qué datos sí, qué datos no</w:t>
            </w:r>
          </w:p>
        </w:tc>
        <w:tc>
          <w:tcPr>
            <w:tcW w:type="dxa" w:w="2412"/>
          </w:tcPr>
          <w:p>
            <w:r/>
            <w:r>
              <w:t>🟢</w:t>
            </w:r>
          </w:p>
        </w:tc>
        <w:tc>
          <w:tcPr>
            <w:tcW w:type="dxa" w:w="2412"/>
          </w:tcPr>
          <w:p>
            <w:r/>
            <w:r>
              <w:t>templates-ISACA-07, URCDP-04, VPOL-07</w:t>
            </w:r>
          </w:p>
        </w:tc>
      </w:tr>
      <w:tr>
        <w:tc>
          <w:tcPr>
            <w:tcW w:type="dxa" w:w="2412"/>
          </w:tcPr>
          <w:p>
            <w:r/>
            <w:r>
              <w:t>AISEC-07</w:t>
            </w:r>
          </w:p>
        </w:tc>
        <w:tc>
          <w:tcPr>
            <w:tcW w:type="dxa" w:w="2412"/>
          </w:tcPr>
          <w:p>
            <w:r/>
            <w:r>
              <w:t>Guía de prompts seguros por perfil</w:t>
            </w:r>
          </w:p>
        </w:tc>
        <w:tc>
          <w:tcPr>
            <w:tcW w:type="dxa" w:w="2412"/>
          </w:tcPr>
          <w:p>
            <w:r/>
            <w:r>
              <w:t>🟢</w:t>
            </w:r>
          </w:p>
        </w:tc>
        <w:tc>
          <w:tcPr>
            <w:tcW w:type="dxa" w:w="2412"/>
          </w:tcPr>
          <w:p>
            <w:r/>
            <w:r>
              <w:t>Todas las plantillas de uso diario</w:t>
            </w:r>
          </w:p>
        </w:tc>
      </w:tr>
      <w:tr>
        <w:tc>
          <w:tcPr>
            <w:tcW w:type="dxa" w:w="2412"/>
          </w:tcPr>
          <w:p>
            <w:r/>
            <w:r>
              <w:t>AISEC-08</w:t>
            </w:r>
          </w:p>
        </w:tc>
        <w:tc>
          <w:tcPr>
            <w:tcW w:type="dxa" w:w="2412"/>
          </w:tcPr>
          <w:p>
            <w:r/>
            <w:r>
              <w:t>Guía técnica para TI y RSI: implementación segura</w:t>
            </w:r>
          </w:p>
        </w:tc>
        <w:tc>
          <w:tcPr>
            <w:tcW w:type="dxa" w:w="2412"/>
          </w:tcPr>
          <w:p>
            <w:r/>
            <w:r>
              <w:t>🔴</w:t>
            </w:r>
          </w:p>
        </w:tc>
        <w:tc>
          <w:tcPr>
            <w:tcW w:type="dxa" w:w="2412"/>
          </w:tcPr>
          <w:p>
            <w:r/>
            <w:r>
              <w:t>PR-06, ID-04, DE-02, BCU-03, URCDP-01</w:t>
            </w:r>
          </w:p>
        </w:tc>
      </w:tr>
      <w:tr>
        <w:tc>
          <w:tcPr>
            <w:tcW w:type="dxa" w:w="2412"/>
          </w:tcPr>
          <w:p>
            <w:r/>
            <w:r>
              <w:t>AISEC-09</w:t>
            </w:r>
          </w:p>
        </w:tc>
        <w:tc>
          <w:tcPr>
            <w:tcW w:type="dxa" w:w="2412"/>
          </w:tcPr>
          <w:p>
            <w:r/>
            <w:r>
              <w:t>Gobierno y auditoría del uso de IA</w:t>
            </w:r>
          </w:p>
        </w:tc>
        <w:tc>
          <w:tcPr>
            <w:tcW w:type="dxa" w:w="2412"/>
          </w:tcPr>
          <w:p>
            <w:r/>
            <w:r>
              <w:t>🔴</w:t>
            </w:r>
          </w:p>
        </w:tc>
        <w:tc>
          <w:tcPr>
            <w:tcW w:type="dxa" w:w="2412"/>
          </w:tcPr>
          <w:p>
            <w:r/>
            <w:r>
              <w:t>GV-01, GV-02, GV-03, EV-01 a EV-05, MATRIZ-BCU-EMG</w:t>
            </w:r>
          </w:p>
        </w:tc>
      </w:tr>
      <w:tr>
        <w:tc>
          <w:tcPr>
            <w:tcW w:type="dxa" w:w="2412"/>
          </w:tcPr>
          <w:p>
            <w:r/>
            <w:r>
              <w:t>AISEC-10</w:t>
            </w:r>
          </w:p>
        </w:tc>
        <w:tc>
          <w:tcPr>
            <w:tcW w:type="dxa" w:w="2412"/>
          </w:tcPr>
          <w:p>
            <w:r/>
            <w:r>
              <w:t>Plan de capacitación para 300 funcionarios</w:t>
            </w:r>
          </w:p>
        </w:tc>
        <w:tc>
          <w:tcPr>
            <w:tcW w:type="dxa" w:w="2412"/>
          </w:tcPr>
          <w:p>
            <w:r/>
            <w:r>
              <w:t>🟡</w:t>
            </w:r>
          </w:p>
        </w:tc>
        <w:tc>
          <w:tcPr>
            <w:tcW w:type="dxa" w:w="2412"/>
          </w:tcPr>
          <w:p>
            <w:r/>
            <w:r>
              <w:t>14-Plan-Adopcion-Correspondencia-Final (rsi-tools)</w:t>
            </w:r>
          </w:p>
        </w:tc>
      </w:tr>
      <w:tr>
        <w:tc>
          <w:tcPr>
            <w:tcW w:type="dxa" w:w="2412"/>
          </w:tcPr>
          <w:p>
            <w:r/>
            <w:r>
              <w:t>AISEC-11</w:t>
            </w:r>
          </w:p>
        </w:tc>
        <w:tc>
          <w:tcPr>
            <w:tcW w:type="dxa" w:w="2412"/>
          </w:tcPr>
          <w:p>
            <w:r/>
            <w:r>
              <w:t>Preguntas frecuentes, mitos y casos reales</w:t>
            </w:r>
          </w:p>
        </w:tc>
        <w:tc>
          <w:tcPr>
            <w:tcW w:type="dxa" w:w="2412"/>
          </w:tcPr>
          <w:p>
            <w:r/>
            <w:r>
              <w:t>🟢</w:t>
            </w:r>
          </w:p>
        </w:tc>
        <w:tc>
          <w:tcPr>
            <w:tcW w:type="dxa" w:w="2412"/>
          </w:tcPr>
          <w:p>
            <w:r/>
            <w:r>
              <w:t>Todas las anteriores</w:t>
            </w:r>
          </w:p>
        </w:tc>
      </w:tr>
      <w:tr>
        <w:tc>
          <w:tcPr>
            <w:tcW w:type="dxa" w:w="2412"/>
          </w:tcPr>
          <w:p>
            <w:r/>
            <w:r>
              <w:t>AISEC-12</w:t>
            </w:r>
          </w:p>
        </w:tc>
        <w:tc>
          <w:tcPr>
            <w:tcW w:type="dxa" w:w="2412"/>
          </w:tcPr>
          <w:p>
            <w:r/>
            <w:r>
              <w:t>Correspondencia normativa y checklist final</w:t>
            </w:r>
          </w:p>
        </w:tc>
        <w:tc>
          <w:tcPr>
            <w:tcW w:type="dxa" w:w="2412"/>
          </w:tcPr>
          <w:p>
            <w:r/>
            <w:r>
              <w:t>🔴</w:t>
            </w:r>
          </w:p>
        </w:tc>
        <w:tc>
          <w:tcPr>
            <w:tcW w:type="dxa" w:w="2412"/>
          </w:tcPr>
          <w:p>
            <w:r/>
            <w:r>
              <w:t>MATRIZ-BCU-EMG, EV-01 a EV-05</w:t>
            </w:r>
          </w:p>
        </w:tc>
      </w:tr>
      <w:tr>
        <w:tc>
          <w:tcPr>
            <w:tcW w:type="dxa" w:w="2412"/>
          </w:tcPr>
          <w:p>
            <w:r/>
            <w:r>
              <w:t>AISEC-13</w:t>
            </w:r>
          </w:p>
        </w:tc>
        <w:tc>
          <w:tcPr>
            <w:tcW w:type="dxa" w:w="2412"/>
          </w:tcPr>
          <w:p>
            <w:r/>
            <w:r>
              <w:t>Modelos en datacenter sin internet: versionado, catálogo y actualización</w:t>
            </w:r>
          </w:p>
        </w:tc>
        <w:tc>
          <w:tcPr>
            <w:tcW w:type="dxa" w:w="2412"/>
          </w:tcPr>
          <w:p>
            <w:r/>
            <w:r>
              <w:t>🔴</w:t>
            </w:r>
          </w:p>
        </w:tc>
        <w:tc>
          <w:tcPr>
            <w:tcW w:type="dxa" w:w="2412"/>
          </w:tcPr>
          <w:p>
            <w:r/>
            <w:r>
              <w:t>GV-02, ID-01, BCU-03, URCDP-01</w:t>
            </w:r>
          </w:p>
        </w:tc>
      </w:tr>
      <w:tr>
        <w:tc>
          <w:tcPr>
            <w:tcW w:type="dxa" w:w="2412"/>
          </w:tcPr>
          <w:p>
            <w:r/>
            <w:r>
              <w:t>AISEC-14</w:t>
            </w:r>
          </w:p>
        </w:tc>
        <w:tc>
          <w:tcPr>
            <w:tcW w:type="dxa" w:w="2412"/>
          </w:tcPr>
          <w:p>
            <w:r/>
            <w:r>
              <w:t>Cómo funciona un modelo por dentro: memoria, telemetría, salida a internet</w:t>
            </w:r>
          </w:p>
        </w:tc>
        <w:tc>
          <w:tcPr>
            <w:tcW w:type="dxa" w:w="2412"/>
          </w:tcPr>
          <w:p>
            <w:r/>
            <w:r>
              <w:t>🟢-&gt;🔴</w:t>
            </w:r>
          </w:p>
        </w:tc>
        <w:tc>
          <w:tcPr>
            <w:tcW w:type="dxa" w:w="2412"/>
          </w:tcPr>
          <w:p>
            <w:r/>
            <w:r>
              <w:t>templates-ISACA-07, templates-ISACA-09, URCDP-05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4. Ruta de aprendizaje recomendada</w:t>
      </w:r>
    </w:p>
    <w:p>
      <w:r>
        <w:t>Se recomienda este camino, que va de lo conceptual a lo práctico y de lo práctico a lo auditable:</w:t>
      </w:r>
    </w:p>
    <w:p>
      <w:pPr>
        <w:pStyle w:val="ListNumber"/>
      </w:pPr>
      <w:r>
        <w:rPr>
          <w:b/>
        </w:rPr>
        <w:t>AISEC-00</w:t>
      </w:r>
      <w:r>
        <w:t xml:space="preserve"> (este módulo): el mapa del curso.</w:t>
      </w:r>
    </w:p>
    <w:p>
      <w:pPr>
        <w:pStyle w:val="ListNumber"/>
      </w:pPr>
      <w:r>
        <w:rPr>
          <w:b/>
        </w:rPr>
        <w:t>AISEC-01</w:t>
      </w:r>
      <w:r>
        <w:t>: qué es un LLM (base conceptual para entender los riesgos).</w:t>
      </w:r>
    </w:p>
    <w:p>
      <w:pPr>
        <w:pStyle w:val="ListNumber"/>
      </w:pPr>
      <w:r>
        <w:rPr>
          <w:b/>
        </w:rPr>
        <w:t>AISEC-02</w:t>
      </w:r>
      <w:r>
        <w:t>: marco normativo (por qué el dato no se pega en cualquier lado).</w:t>
      </w:r>
    </w:p>
    <w:p>
      <w:pPr>
        <w:pStyle w:val="ListNumber"/>
      </w:pPr>
      <w:r>
        <w:rPr>
          <w:b/>
        </w:rPr>
        <w:t>AISEC-03</w:t>
      </w:r>
      <w:r>
        <w:t>: las herramientas oficiales y cómo usarlas.</w:t>
      </w:r>
    </w:p>
    <w:p>
      <w:pPr>
        <w:pStyle w:val="ListNumber"/>
      </w:pPr>
      <w:r>
        <w:rPr>
          <w:b/>
        </w:rPr>
        <w:t>AISEC-04</w:t>
      </w:r>
      <w:r>
        <w:t>: RAG (la forma segura de consultar los documentos del Banco).</w:t>
      </w:r>
    </w:p>
    <w:p>
      <w:pPr>
        <w:pStyle w:val="ListNumber"/>
      </w:pPr>
      <w:r>
        <w:rPr>
          <w:b/>
        </w:rPr>
        <w:t>AISEC-05</w:t>
      </w:r>
      <w:r>
        <w:t>: riesgos reales (fuga, prompt injection, alucinaciones).</w:t>
      </w:r>
    </w:p>
    <w:p>
      <w:pPr>
        <w:pStyle w:val="ListNumber"/>
      </w:pPr>
      <w:r>
        <w:rPr>
          <w:b/>
        </w:rPr>
        <w:t>AISEC-06</w:t>
      </w:r>
      <w:r>
        <w:t>: reglas de oro (qué datos sí / qué datos no).</w:t>
      </w:r>
    </w:p>
    <w:p>
      <w:pPr>
        <w:pStyle w:val="ListNumber"/>
      </w:pPr>
      <w:r>
        <w:rPr>
          <w:b/>
        </w:rPr>
        <w:t>AISEC-07</w:t>
      </w:r>
      <w:r>
        <w:t>: guía de prompts por perfil (práctica diaria).</w:t>
      </w:r>
    </w:p>
    <w:p>
      <w:pPr>
        <w:pStyle w:val="ListNumber"/>
      </w:pPr>
      <w:r>
        <w:rPr>
          <w:b/>
        </w:rPr>
        <w:t>AISEC-08</w:t>
      </w:r>
      <w:r>
        <w:t xml:space="preserve"> (solo TI/RSI): implementación técnica segura.</w:t>
      </w:r>
    </w:p>
    <w:p>
      <w:pPr>
        <w:pStyle w:val="ListNumber"/>
      </w:pPr>
      <w:r>
        <w:rPr>
          <w:b/>
        </w:rPr>
        <w:t>AISEC-09</w:t>
      </w:r>
      <w:r>
        <w:t xml:space="preserve"> (solo RSI): gobierno y auditoría.</w:t>
      </w:r>
    </w:p>
    <w:p>
      <w:pPr>
        <w:pStyle w:val="ListNumber"/>
      </w:pPr>
      <w:r>
        <w:rPr>
          <w:b/>
        </w:rPr>
        <w:t>AISEC-10</w:t>
      </w:r>
      <w:r>
        <w:t xml:space="preserve"> (todos): plan de adopción para 300 funcionarios.</w:t>
      </w:r>
    </w:p>
    <w:p>
      <w:pPr>
        <w:pStyle w:val="ListNumber"/>
      </w:pPr>
      <w:r>
        <w:rPr>
          <w:b/>
        </w:rPr>
        <w:t>AISEC-11</w:t>
      </w:r>
      <w:r>
        <w:t xml:space="preserve"> y </w:t>
      </w:r>
      <w:r>
        <w:rPr>
          <w:b/>
        </w:rPr>
        <w:t>AISEC-12</w:t>
      </w:r>
      <w:r>
        <w:t>: casos, FAQ y checklist final.</w:t>
      </w:r>
    </w:p>
    <w:p>
      <w:pPr>
        <w:pStyle w:val="ListNumber"/>
      </w:pPr>
      <w:r>
        <w:rPr>
          <w:b/>
        </w:rPr>
        <w:t>AISEC-13</w:t>
      </w:r>
      <w:r>
        <w:t xml:space="preserve"> (solo TI/RSI): versionado y actualización de modelos sin internet.</w:t>
      </w:r>
    </w:p>
    <w:p>
      <w:pPr>
        <w:pStyle w:val="ListNumber"/>
      </w:pPr>
      <w:r>
        <w:rPr>
          <w:b/>
        </w:rPr>
        <w:t>AISEC-14</w:t>
      </w:r>
      <w:r>
        <w:t xml:space="preserve"> (todos): memoria, telemetría y qué sale a internet.</w:t>
      </w:r>
    </w:p>
    <w:p>
      <w:pPr>
        <w:ind w:left="432"/>
      </w:pPr>
      <w:r>
        <w:rPr>
          <w:i/>
          <w:color w:val="606060"/>
        </w:rPr>
        <w:t>**Nota para el RSI:** los módulos AISEC-02, AISEC-05, AISEC-08, AISEC-09, AISEC-13 y AISEC-14 son los que convierten este curso en evidencia auditable ante Agesic, BCU y URCDP.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Cómo usar este curso en el kit Banco-Inicia</w:t>
      </w:r>
    </w:p>
    <w:p>
      <w:pPr>
        <w:pStyle w:val="ListNumber"/>
      </w:pPr>
      <w:r>
        <w:rPr>
          <w:b/>
        </w:rPr>
        <w:t>Aprendé el concepto</w:t>
      </w:r>
      <w:r>
        <w:t xml:space="preserve"> leyendo el módulo (con las analogías y ejemplos).</w:t>
      </w:r>
    </w:p>
    <w:p>
      <w:pPr>
        <w:pStyle w:val="ListNumber"/>
      </w:pPr>
      <w:r>
        <w:rPr>
          <w:b/>
        </w:rPr>
        <w:t>Abrí la plantilla</w:t>
      </w:r>
      <w:r>
        <w:t xml:space="preserve"> relacionada (por ejemplo </w:t>
      </w:r>
      <w:r>
        <w:rPr>
          <w:rFonts w:ascii="Consolas" w:hAnsi="Consolas"/>
          <w:sz w:val="20"/>
        </w:rPr>
        <w:t>templates-ISACA\02-AI-Acceptable-Use.md</w:t>
      </w:r>
      <w:r>
        <w:t>).</w:t>
      </w:r>
    </w:p>
    <w:p>
      <w:pPr>
        <w:pStyle w:val="ListNumber"/>
      </w:pPr>
      <w:r>
        <w:rPr>
          <w:b/>
        </w:rPr>
        <w:t>Completala con el caso Banco</w:t>
      </w:r>
      <w:r>
        <w:t xml:space="preserve"> usando lo aprendido.</w:t>
      </w:r>
    </w:p>
    <w:p>
      <w:pPr>
        <w:pStyle w:val="ListNumber"/>
      </w:pPr>
      <w:r>
        <w:rPr>
          <w:b/>
        </w:rPr>
        <w:t>Guardala en la estructura del SGSI</w:t>
      </w:r>
      <w:r>
        <w:t xml:space="preserve"> y </w:t>
      </w:r>
      <w:r>
        <w:rPr>
          <w:b/>
        </w:rPr>
        <w:t>seguila en la planificación</w:t>
      </w:r>
      <w:r>
        <w:t>.</w:t>
      </w:r>
    </w:p>
    <w:p>
      <w:pPr>
        <w:pStyle w:val="ListNumber"/>
      </w:pPr>
      <w:r>
        <w:rPr>
          <w:b/>
        </w:rPr>
        <w:t>Dejá evidencia</w:t>
      </w:r>
      <w:r>
        <w:t xml:space="preserve"> (política firmada, registros de uso, logs, planillas de capacitación) para responder ante URCDP, BCU y Agesic.</w:t>
      </w:r>
    </w:p>
    <w:p>
      <w:r>
        <w:t>La regla de oro de todo el curso, en una frase:</w:t>
      </w:r>
    </w:p>
    <w:p>
      <w:pPr>
        <w:ind w:left="432"/>
      </w:pPr>
      <w:r>
        <w:rPr>
          <w:i/>
          <w:color w:val="606060"/>
        </w:rPr>
        <w:t>**En el Banco, la IA se usa con la herramienta oficial, con datos que la política autoriza, y siempre con revisión humana del resultado. Lo que no está autorizado, no se hace — ni "por única vez".**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