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AISEC-02 · Marco normativo uruguayo de IA y datos personales</w:t>
      </w:r>
    </w:p>
    <w:p>
      <w:pPr>
        <w:ind w:left="432"/>
      </w:pPr>
      <w:r>
        <w:rPr>
          <w:i/>
          <w:color w:val="606060"/>
        </w:rPr>
        <w:t>**Función del MCU 5.0:** Este módulo aterriza los requisitos de cumplimiento (CN) y protección de datos personales (PD) del Marco de Ciberseguridad de Agesic 5.0 sobre el uso de IA: PD.1 (legalidad), PD.2 (veracidad/calidad), PD.4 (consentimiento), PD.5 (seguridad de datos), PD.7 (responsabilidad proactiva) y CN.1 (cumplimiento normativo).</w:t>
      </w:r>
    </w:p>
    <w:p>
      <w:pPr>
        <w:ind w:left="432"/>
      </w:pPr>
      <w:r>
        <w:rPr>
          <w:i/>
          <w:color w:val="606060"/>
        </w:rPr>
        <w:t>**ISO/IEC 27001:** Cumplimiento legal y contractual (A.5.31/A.5.34) y protección de datos personales en entornos de cómputo (A.5.35). Referencia de gobernanza específica: ISO/IEC 42001 (Sistema de Gestión de la IA).</w:t>
      </w:r>
    </w:p>
    <w:p>
      <w:pPr>
        <w:ind w:left="432"/>
      </w:pPr>
      <w:r>
        <w:rPr>
          <w:i/>
          <w:color w:val="606060"/>
        </w:rPr>
        <w:t>**BCU:** El uso de IA que trata datos de clientes entra en el alcance del RNRCSF y de los EMG: debe estar documentado, autorizado y con evidencia.</w:t>
      </w:r>
    </w:p>
    <w:p>
      <w:pPr>
        <w:ind w:left="432"/>
      </w:pPr>
      <w:r>
        <w:rPr>
          <w:i/>
          <w:color w:val="606060"/>
        </w:rPr>
        <w:t>**URCDP:** Es la autoridad de control. Ley 18.331, Decreto 414/009, Decreto 64/020, Ley 19.670 y Decreto 66/025 rigen el tratamiento de datos personales, incluyendo el que hagan las herramientas de IA.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¿Por qué la ley importa para usar un chatbot?</w:t>
      </w:r>
    </w:p>
    <w:p>
      <w:r>
        <w:t>Pensemos en el siguiente escenario: un funcionario quiere escribir un correo a un cliente moroso. Para "ganar tiempo", copia el nombre, la cédula, el saldo y la situación del cliente en una herramienta de IA gratuita de internet, y le pide: "redactá un correo firme de cobro".</w:t>
      </w:r>
    </w:p>
    <w:p>
      <w:r>
        <w:t xml:space="preserve">Ese acto, en apariencia inofensivo, es un </w:t>
      </w:r>
      <w:r>
        <w:rPr>
          <w:b/>
        </w:rPr>
        <w:t>tratamiento de datos personales sin base legal ni técnica adecuada</w:t>
      </w:r>
      <w:r>
        <w:t>. Le pasamos a un tercero sin contrato, sin registro, sin garantías de seguridad y sin el consentimiento del titular (que, para morosidad de crédito, la ley además exige expreso). Si el cliente se entera o si se fuga ese dato, el Banco queda expuesto a:</w:t>
      </w:r>
    </w:p>
    <w:p>
      <w:pPr>
        <w:pStyle w:val="ListBullet"/>
      </w:pPr>
      <w:r>
        <w:t xml:space="preserve">Una </w:t>
      </w:r>
      <w:r>
        <w:rPr>
          <w:b/>
        </w:rPr>
        <w:t>sanción de la URCDP</w:t>
      </w:r>
      <w:r>
        <w:t xml:space="preserve"> (multa de hasta 500.000 UI, Ley 18.331 art. 39).</w:t>
      </w:r>
    </w:p>
    <w:p>
      <w:pPr>
        <w:pStyle w:val="ListBullet"/>
      </w:pPr>
      <w:r>
        <w:t xml:space="preserve">Un </w:t>
      </w:r>
      <w:r>
        <w:rPr>
          <w:b/>
        </w:rPr>
        <w:t>incidente reportable en 72 horas</w:t>
      </w:r>
      <w:r>
        <w:t xml:space="preserve"> (Decreto 64/020).</w:t>
      </w:r>
    </w:p>
    <w:p>
      <w:pPr>
        <w:pStyle w:val="ListBullet"/>
      </w:pPr>
      <w:r>
        <w:t xml:space="preserve">Una </w:t>
      </w:r>
      <w:r>
        <w:rPr>
          <w:b/>
        </w:rPr>
        <w:t>observación del BCU</w:t>
      </w:r>
      <w:r>
        <w:t xml:space="preserve"> en la supervisión de riesgo operacional/TIC.</w:t>
      </w:r>
    </w:p>
    <w:p>
      <w:pPr>
        <w:pStyle w:val="ListBullet"/>
      </w:pPr>
      <w:r>
        <w:t>Un daño reputacional difícil de medir.</w:t>
      </w:r>
    </w:p>
    <w:p>
      <w:r>
        <w:t xml:space="preserve">Esa es la razón de fondo del curso: </w:t>
      </w:r>
      <w:r>
        <w:rPr>
          <w:b/>
        </w:rPr>
        <w:t>la ley no persigue usar IA; persigue tratar datos sin control.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El mapa normativo uruguayo (lo mínimo que hay que conocer)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regula para nosotros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18.331</w:t>
            </w:r>
            <w:r>
              <w:t xml:space="preserve"> (Ley de Protección de Datos Personales)</w:t>
            </w:r>
          </w:p>
        </w:tc>
        <w:tc>
          <w:tcPr>
            <w:tcW w:type="dxa" w:w="4824"/>
          </w:tcPr>
          <w:p>
            <w:r/>
            <w:r>
              <w:t>Principios del tratamiento: legalidad, calidad, finalidad, seguridad (arts. 9 y 10). Consentimiento del titular. Deber de confidencialidad (art. 27). Sanciones (art. 39).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414/009</w:t>
            </w:r>
          </w:p>
        </w:tc>
        <w:tc>
          <w:tcPr>
            <w:tcW w:type="dxa" w:w="4824"/>
          </w:tcPr>
          <w:p>
            <w:r/>
            <w:r>
              <w:t>Reglamenta la Ley 18.331: consentimiento informado, previo, expreso y revocable; categorías especiales de datos (salud, etc.).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64/020</w:t>
            </w:r>
          </w:p>
        </w:tc>
        <w:tc>
          <w:tcPr>
            <w:tcW w:type="dxa" w:w="4824"/>
          </w:tcPr>
          <w:p>
            <w:r/>
            <w:r>
              <w:t xml:space="preserve">Régimen de </w:t>
            </w:r>
            <w:r>
              <w:rPr>
                <w:b/>
              </w:rPr>
              <w:t>vulneraciones de seguridad</w:t>
            </w:r>
            <w:r>
              <w:t xml:space="preserve"> de datos personales: incidentes se notifican a la </w:t>
            </w:r>
            <w:r>
              <w:rPr>
                <w:b/>
              </w:rPr>
              <w:t>URCDP en 72 horas</w:t>
            </w:r>
            <w:r>
              <w:t xml:space="preserve"> cuando haya riesgo para los derechos de los titulares.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19.670</w:t>
            </w:r>
          </w:p>
        </w:tc>
        <w:tc>
          <w:tcPr>
            <w:tcW w:type="dxa" w:w="4824"/>
          </w:tcPr>
          <w:p>
            <w:r/>
            <w:r>
              <w:t xml:space="preserve">Fortalece la protección: </w:t>
            </w:r>
            <w:r>
              <w:rPr>
                <w:b/>
              </w:rPr>
              <w:t>responsabilidad proactiva</w:t>
            </w:r>
            <w:r>
              <w:t xml:space="preserve"> (privacy by design) y el </w:t>
            </w:r>
            <w:r>
              <w:rPr>
                <w:b/>
              </w:rPr>
              <w:t>Delegado de Protección de Datos (DPD)</w:t>
            </w:r>
            <w:r>
              <w:t xml:space="preserve"> en entidades públicas y grandes tratamientos.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Ley 20.212</w:t>
            </w:r>
          </w:p>
        </w:tc>
        <w:tc>
          <w:tcPr>
            <w:tcW w:type="dxa" w:w="4824"/>
          </w:tcPr>
          <w:p>
            <w:r/>
            <w:r>
              <w:t xml:space="preserve">Ley de Presupuesto: su </w:t>
            </w:r>
            <w:r>
              <w:rPr>
                <w:b/>
              </w:rPr>
              <w:t>artículo 74</w:t>
            </w:r>
            <w:r>
              <w:t xml:space="preserve"> manda al Poder Ejecutivo definir la </w:t>
            </w:r>
            <w:r>
              <w:rPr>
                <w:b/>
              </w:rPr>
              <w:t>Estrategia Nacional de Inteligencia Artificial y Datos</w:t>
            </w:r>
            <w:r>
              <w:t xml:space="preserve"> (áreas, etapas y financiación). Refleja el interés del Estado uruguayo en IA con gobernanza.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Decreto 66/025</w:t>
            </w:r>
          </w:p>
        </w:tc>
        <w:tc>
          <w:tcPr>
            <w:tcW w:type="dxa" w:w="4824"/>
          </w:tcPr>
          <w:p>
            <w:r/>
            <w:r>
              <w:t xml:space="preserve">Reglamenta el marco de ciberseguridad: RSI institucional, notificación de incidentes al </w:t>
            </w:r>
            <w:r>
              <w:rPr>
                <w:b/>
              </w:rPr>
              <w:t>CERTuy</w:t>
            </w:r>
            <w:r>
              <w:t>, gestión de riesgos de seguridad de la información. Aplica al uso de IA si trata datos institucionales.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4824"/>
          </w:tcPr>
          <w:p>
            <w:r/>
            <w:r>
              <w:t xml:space="preserve">Marco de Ciberseguridad del Uruguay: funciones GV, ID, PR, DE, RS, RC y dominios transversales </w:t>
            </w:r>
            <w:r>
              <w:rPr>
                <w:b/>
              </w:rPr>
              <w:t>CN (Cumplimiento normativo y revisiones)</w:t>
            </w:r>
            <w:r>
              <w:t xml:space="preserve"> y </w:t>
            </w:r>
            <w:r>
              <w:rPr>
                <w:b/>
              </w:rPr>
              <w:t>PD (Protección de datos personales)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ISO/IEC 27001 y 42001</w:t>
            </w:r>
          </w:p>
        </w:tc>
        <w:tc>
          <w:tcPr>
            <w:tcW w:type="dxa" w:w="4824"/>
          </w:tcPr>
          <w:p>
            <w:r/>
            <w:r>
              <w:t>Referencias internacionales voluntarias: la 27001 para el SGSI y la 42001 para gobernanza de sistemas de IA. No son ley uruguaya, pero sirven de guía de mejores prácticas.</w:t>
            </w:r>
          </w:p>
        </w:tc>
      </w:tr>
    </w:tbl>
    <w:p>
      <w:pPr>
        <w:ind w:left="432"/>
      </w:pPr>
      <w:r>
        <w:rPr>
          <w:i/>
          <w:color w:val="606060"/>
        </w:rPr>
        <w:t>**Importante:** Uruguay todavía **no tiene una ley específica de IA**. La regulación vigente se construye con las leyes de datos personales (18.331 y 19.670), el Decreto 64/020, el Decreto 66/025 y el marco de gobernanza que impulsa Agesic. Por eso, el **principio rector es la protección de datos personales**, aunque la herramienta sea un "chatbot".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Lo que el MCU 5.0 exige que revisemos (PD y CN)</w:t>
      </w:r>
    </w:p>
    <w:p>
      <w:r>
        <w:t xml:space="preserve">El MCU 5.0 de Agesic tiene </w:t>
      </w:r>
      <w:r>
        <w:rPr>
          <w:b/>
        </w:rPr>
        <w:t>72 requisitos</w:t>
      </w:r>
      <w:r>
        <w:t>. Los que más tocan la IA son: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significa para el uso de IA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CN.1</w:t>
            </w:r>
            <w:r>
              <w:t xml:space="preserve"> Cumplir requisitos normativos</w:t>
            </w:r>
          </w:p>
        </w:tc>
        <w:tc>
          <w:tcPr>
            <w:tcW w:type="dxa" w:w="4824"/>
          </w:tcPr>
          <w:p>
            <w:r/>
            <w:r>
              <w:t>La institución debe conocer y cumplir todas las normas que aplican a sus tratamientos de datos, incluidos los que haga la IA.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PD.1</w:t>
            </w:r>
            <w:r>
              <w:t xml:space="preserve"> Legalidad</w:t>
            </w:r>
          </w:p>
        </w:tc>
        <w:tc>
          <w:tcPr>
            <w:tcW w:type="dxa" w:w="4824"/>
          </w:tcPr>
          <w:p>
            <w:r/>
            <w:r>
              <w:t xml:space="preserve">Todo tratamiento de datos con IA debe tener base legal (consentimiento, ley, contrato). Pegar datos en una web anónima </w:t>
            </w:r>
            <w:r>
              <w:rPr>
                <w:b/>
              </w:rPr>
              <w:t>no tiene base legal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PD.2</w:t>
            </w:r>
            <w:r>
              <w:t xml:space="preserve"> Veracidad y calidad</w:t>
            </w:r>
          </w:p>
        </w:tc>
        <w:tc>
          <w:tcPr>
            <w:tcW w:type="dxa" w:w="4824"/>
          </w:tcPr>
          <w:p>
            <w:r/>
            <w:r>
              <w:t>Los datos deben ser exactos y actualizados. La IA que inventa (alucinación) no puede ser la única fuente de un dato de cliente.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PD.3</w:t>
            </w:r>
            <w:r>
              <w:t xml:space="preserve"> Finalidad</w:t>
            </w:r>
          </w:p>
        </w:tc>
        <w:tc>
          <w:tcPr>
            <w:tcW w:type="dxa" w:w="4824"/>
          </w:tcPr>
          <w:p>
            <w:r/>
            <w:r>
              <w:t>Los datos se usan solo para la finalidad declarada. Una IA de "resúmenes generales" no habilita a procesar datos de clientes.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PD.4</w:t>
            </w:r>
            <w:r>
              <w:t xml:space="preserve"> Consentimiento informado</w:t>
            </w:r>
          </w:p>
        </w:tc>
        <w:tc>
          <w:tcPr>
            <w:tcW w:type="dxa" w:w="4824"/>
          </w:tcPr>
          <w:p>
            <w:r/>
            <w:r>
              <w:t xml:space="preserve">Para datos sensibles y morosidad el consentimiento debe ser </w:t>
            </w:r>
            <w:r>
              <w:rPr>
                <w:b/>
              </w:rPr>
              <w:t>expreso, informado, previo y revocable</w:t>
            </w:r>
            <w:r>
              <w:t xml:space="preserve"> (Decreto 414/009). Un correo de cobranza generado con datos sin esa base es un riesgo.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PD.5</w:t>
            </w:r>
            <w:r>
              <w:t xml:space="preserve"> Seguridad de los datos</w:t>
            </w:r>
          </w:p>
        </w:tc>
        <w:tc>
          <w:tcPr>
            <w:tcW w:type="dxa" w:w="4824"/>
          </w:tcPr>
          <w:p>
            <w:r/>
            <w:r>
              <w:t xml:space="preserve">El tratamiento debe implementar medidas técnicas y organizativas (cifrado, control de acceso, registro). Implica que la herramienta de IA usada debe ser </w:t>
            </w:r>
            <w:r>
              <w:rPr>
                <w:b/>
              </w:rPr>
              <w:t>auditable y autorizada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PD.6</w:t>
            </w:r>
            <w:r>
              <w:t xml:space="preserve"> Reserva</w:t>
            </w:r>
          </w:p>
        </w:tc>
        <w:tc>
          <w:tcPr>
            <w:tcW w:type="dxa" w:w="4824"/>
          </w:tcPr>
          <w:p>
            <w:r/>
            <w:r>
              <w:t>Deber de confidencialidad de quienes tratan datos. La IA externa sin contrato rompe la reserva.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PD.7</w:t>
            </w:r>
            <w:r>
              <w:t xml:space="preserve"> Responsabilidad proactiva</w:t>
            </w:r>
          </w:p>
        </w:tc>
        <w:tc>
          <w:tcPr>
            <w:tcW w:type="dxa" w:w="4824"/>
          </w:tcPr>
          <w:p>
            <w:r/>
            <w:r>
              <w:t>Privacy by design: se evalúa el impacto (EIPD) antes de usar una herramienta de IA con datos personales.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PD.8</w:t>
            </w:r>
            <w:r>
              <w:t xml:space="preserve"> Derechos de los titulares</w:t>
            </w:r>
          </w:p>
        </w:tc>
        <w:tc>
          <w:tcPr>
            <w:tcW w:type="dxa" w:w="4824"/>
          </w:tcPr>
          <w:p>
            <w:r/>
            <w:r>
              <w:t xml:space="preserve">Los clientes pueden pedir información, acceso, rectificación, supresión, etc. Si la IA "guardó" datos en una nube externa, el Banco </w:t>
            </w:r>
            <w:r>
              <w:rPr>
                <w:b/>
              </w:rPr>
              <w:t>no puede responder</w:t>
            </w:r>
            <w:r>
              <w:t xml:space="preserve"> a esos derechos -&gt; incumplimiento directo.</w:t>
            </w:r>
          </w:p>
        </w:tc>
      </w:tr>
    </w:tbl>
    <w:p>
      <w:pPr>
        <w:ind w:left="432"/>
      </w:pPr>
      <w:r>
        <w:rPr>
          <w:i/>
          <w:color w:val="606060"/>
        </w:rPr>
        <w:t>**Resumen ejecutivo:** usar IA con datos de clientes solo está bien si la herramienta **está autorizada, tiene base legal, respeta finalidad, permite ejercer derechos, y deja registros**. Eso es exactamente lo que las herramientas oficiales del Banco ofrecen y las cuentas personales no.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Los tres escenarios y su veredicto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Escenario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¿Es válido?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</w:tr>
      <w:tr>
        <w:tc>
          <w:tcPr>
            <w:tcW w:type="dxa" w:w="3216"/>
          </w:tcPr>
          <w:p>
            <w:r/>
            <w:r>
              <w:t xml:space="preserve">Usar el </w:t>
            </w:r>
            <w:r>
              <w:rPr>
                <w:b/>
              </w:rPr>
              <w:t>asistente oficial del Banco</w:t>
            </w:r>
            <w:r>
              <w:t xml:space="preserve"> (servidor propio o nube con contrato y garantías) para redactar correos sin datos personales identificables</w:t>
            </w:r>
          </w:p>
        </w:tc>
        <w:tc>
          <w:tcPr>
            <w:tcW w:type="dxa" w:w="3216"/>
          </w:tcPr>
          <w:p>
            <w:r/>
            <w:r>
              <w:t>✅ Sí</w:t>
            </w:r>
          </w:p>
        </w:tc>
        <w:tc>
          <w:tcPr>
            <w:tcW w:type="dxa" w:w="3216"/>
          </w:tcPr>
          <w:p>
            <w:r/>
            <w:r>
              <w:t>Herramienta autorizada, auditable, sin salida de datos.</w:t>
            </w:r>
          </w:p>
        </w:tc>
      </w:tr>
      <w:tr>
        <w:tc>
          <w:tcPr>
            <w:tcW w:type="dxa" w:w="3216"/>
          </w:tcPr>
          <w:p>
            <w:r/>
            <w:r>
              <w:t xml:space="preserve">Usar el asistente oficial con un </w:t>
            </w:r>
            <w:r>
              <w:rPr>
                <w:b/>
              </w:rPr>
              <w:t>borrador anonimizado</w:t>
            </w:r>
            <w:r>
              <w:t xml:space="preserve"> (sin nombres, cédulas ni saldos)</w:t>
            </w:r>
          </w:p>
        </w:tc>
        <w:tc>
          <w:tcPr>
            <w:tcW w:type="dxa" w:w="3216"/>
          </w:tcPr>
          <w:p>
            <w:r/>
            <w:r>
              <w:t>✅ Sí (con revisión humana)</w:t>
            </w:r>
          </w:p>
        </w:tc>
        <w:tc>
          <w:tcPr>
            <w:tcW w:type="dxa" w:w="3216"/>
          </w:tcPr>
          <w:p>
            <w:r/>
            <w:r>
              <w:t>Minimización de datos: principio del art. 9 Ley 18.331.</w:t>
            </w:r>
          </w:p>
        </w:tc>
      </w:tr>
      <w:tr>
        <w:tc>
          <w:tcPr>
            <w:tcW w:type="dxa" w:w="3216"/>
          </w:tcPr>
          <w:p>
            <w:r/>
            <w:r>
              <w:t xml:space="preserve">Pegar </w:t>
            </w:r>
            <w:r>
              <w:rPr>
                <w:b/>
              </w:rPr>
              <w:t>cédula, saldo y deuda</w:t>
            </w:r>
            <w:r>
              <w:t xml:space="preserve"> de un cliente en </w:t>
            </w:r>
            <w:r>
              <w:rPr>
                <w:b/>
              </w:rPr>
              <w:t>ChatGPT/Claude/Gemini personal</w:t>
            </w:r>
            <w:r>
              <w:t xml:space="preserve"> de internet</w:t>
            </w:r>
          </w:p>
        </w:tc>
        <w:tc>
          <w:tcPr>
            <w:tcW w:type="dxa" w:w="3216"/>
          </w:tcPr>
          <w:p>
            <w:r/>
            <w:r>
              <w:t>❌ No</w:t>
            </w:r>
          </w:p>
        </w:tc>
        <w:tc>
          <w:tcPr>
            <w:tcW w:type="dxa" w:w="3216"/>
          </w:tcPr>
          <w:p>
            <w:r/>
            <w:r>
              <w:t>Fuga de datos personales, sin base legal, sin contrato, sin posibilidad de responder a los derechos del titular (PD.1, PD.5, PD.6, PD.8).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Qué significa "responsabilidad proactiva" en la práctica (Ley 19.670)</w:t>
      </w:r>
    </w:p>
    <w:p>
      <w:r>
        <w:t xml:space="preserve">La Ley 19.670 no espera a que ocurra el incidente: exige que el Banco </w:t>
      </w:r>
      <w:r>
        <w:rPr>
          <w:b/>
        </w:rPr>
        <w:t>piense antes</w:t>
      </w:r>
      <w:r>
        <w:t>. En términos prácticos para la IA:</w:t>
      </w:r>
    </w:p>
    <w:p>
      <w:pPr>
        <w:pStyle w:val="ListNumber"/>
      </w:pPr>
      <w:r>
        <w:rPr>
          <w:b/>
        </w:rPr>
        <w:t>Inventariar</w:t>
      </w:r>
      <w:r>
        <w:t xml:space="preserve"> qué herramientas de IA se usan (oficiales y las que aparezcan "por la ventana").</w:t>
      </w:r>
    </w:p>
    <w:p>
      <w:pPr>
        <w:pStyle w:val="ListNumber"/>
      </w:pPr>
      <w:r>
        <w:rPr>
          <w:b/>
        </w:rPr>
        <w:t>Evaluar el impacto</w:t>
      </w:r>
      <w:r>
        <w:t xml:space="preserve"> (EIPD) antes de habilitar un uso nuevo con datos personales (PD.7).</w:t>
      </w:r>
    </w:p>
    <w:p>
      <w:pPr>
        <w:pStyle w:val="ListNumber"/>
      </w:pPr>
      <w:r>
        <w:rPr>
          <w:b/>
        </w:rPr>
        <w:t>Tener un Delegado de Protección de Datos (DPD)</w:t>
      </w:r>
      <w:r>
        <w:t xml:space="preserve"> designado y notificado a la URCDP.</w:t>
      </w:r>
    </w:p>
    <w:p>
      <w:pPr>
        <w:pStyle w:val="ListNumber"/>
      </w:pPr>
      <w:r>
        <w:rPr>
          <w:b/>
        </w:rPr>
        <w:t>Registrar los tratamientos</w:t>
      </w:r>
      <w:r>
        <w:t xml:space="preserve"> en el Registro de Bases de Datos (Ley 18.331 art. 22).</w:t>
      </w:r>
    </w:p>
    <w:p>
      <w:pPr>
        <w:pStyle w:val="ListNumber"/>
      </w:pPr>
      <w:r>
        <w:rPr>
          <w:b/>
        </w:rPr>
        <w:t>Documentar las decisiones</w:t>
      </w:r>
      <w:r>
        <w:t>: quién autorizó, con qué base, qué herramienta, qué datos.</w:t>
      </w:r>
    </w:p>
    <w:p>
      <w:pPr>
        <w:pStyle w:val="ListNumber"/>
      </w:pPr>
      <w:r>
        <w:rPr>
          <w:b/>
        </w:rPr>
        <w:t>Capacitar</w:t>
      </w:r>
      <w:r>
        <w:t xml:space="preserve"> al personal: este curso es parte de esa obligación.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El checklist normativo mínimo para usar IA en el Banco</w:t>
      </w:r>
    </w:p>
    <w:p>
      <w:pPr>
        <w:pStyle w:val="ListBullet"/>
      </w:pPr>
      <w:r>
        <w:t xml:space="preserve">☐ La herramienta está </w:t>
      </w:r>
      <w:r>
        <w:rPr>
          <w:b/>
        </w:rPr>
        <w:t>autorizada por escrito</w:t>
      </w:r>
      <w:r>
        <w:t xml:space="preserve"> (política de uso aceptable / registro de herramientas aprobadas).</w:t>
      </w:r>
    </w:p>
    <w:p>
      <w:pPr>
        <w:pStyle w:val="ListBullet"/>
      </w:pPr>
      <w:r>
        <w:t xml:space="preserve">☐ Existe </w:t>
      </w:r>
      <w:r>
        <w:rPr>
          <w:b/>
        </w:rPr>
        <w:t>base legal</w:t>
      </w:r>
      <w:r>
        <w:t xml:space="preserve"> para los datos que se procesan (consentimiento, contrato o ley).</w:t>
      </w:r>
    </w:p>
    <w:p>
      <w:pPr>
        <w:pStyle w:val="ListBullet"/>
      </w:pPr>
      <w:r>
        <w:t xml:space="preserve">☐ Los datos ingresados respetan la </w:t>
      </w:r>
      <w:r>
        <w:rPr>
          <w:b/>
        </w:rPr>
        <w:t>finalidad</w:t>
      </w:r>
      <w:r>
        <w:t xml:space="preserve"> declarada del tratamiento.</w:t>
      </w:r>
    </w:p>
    <w:p>
      <w:pPr>
        <w:pStyle w:val="ListBullet"/>
      </w:pPr>
      <w:r>
        <w:t xml:space="preserve">☐ Se aplica </w:t>
      </w:r>
      <w:r>
        <w:rPr>
          <w:b/>
        </w:rPr>
        <w:t>minimización</w:t>
      </w:r>
      <w:r>
        <w:t>: solo los datos estrictamente necesarios, idealmente anonimizados.</w:t>
      </w:r>
    </w:p>
    <w:p>
      <w:pPr>
        <w:pStyle w:val="ListBullet"/>
      </w:pPr>
      <w:r>
        <w:t xml:space="preserve">☐ La herramienta </w:t>
      </w:r>
      <w:r>
        <w:rPr>
          <w:b/>
        </w:rPr>
        <w:t>no envía datos a terceros sin contrato</w:t>
      </w:r>
      <w:r>
        <w:t xml:space="preserve"> ni los usa para entrenar modelos.</w:t>
      </w:r>
    </w:p>
    <w:p>
      <w:pPr>
        <w:pStyle w:val="ListBullet"/>
      </w:pPr>
      <w:r>
        <w:t xml:space="preserve">☐ Hay </w:t>
      </w:r>
      <w:r>
        <w:rPr>
          <w:b/>
        </w:rPr>
        <w:t>registros/logs</w:t>
      </w:r>
      <w:r>
        <w:t xml:space="preserve"> de uso para auditoría (quién, qué, cuándo, qué datos).</w:t>
      </w:r>
    </w:p>
    <w:p>
      <w:pPr>
        <w:pStyle w:val="ListBullet"/>
      </w:pPr>
      <w:r>
        <w:t xml:space="preserve">☐ Todo resultado tiene </w:t>
      </w:r>
      <w:r>
        <w:rPr>
          <w:b/>
        </w:rPr>
        <w:t>revisión humana</w:t>
      </w:r>
      <w:r>
        <w:t xml:space="preserve"> antes de usarse.</w:t>
      </w:r>
    </w:p>
    <w:p>
      <w:pPr>
        <w:pStyle w:val="ListBullet"/>
      </w:pPr>
      <w:r>
        <w:t>☐ Se puede responder a un pedido de un titular (acceso, rectificación, supresión) aunque el dato haya pasado por la IA.</w:t>
      </w:r>
    </w:p>
    <w:p>
      <w:pPr>
        <w:pStyle w:val="ListBullet"/>
      </w:pPr>
      <w:r>
        <w:t xml:space="preserve">☐ Si hay una fuga, se puede </w:t>
      </w:r>
      <w:r>
        <w:rPr>
          <w:b/>
        </w:rPr>
        <w:t>notificar a la URCDP en 72 horas</w:t>
      </w:r>
      <w:r>
        <w:t xml:space="preserve"> (Decreto 64/020) porque sabemos qué herramienta y qué datos fueron.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Conclusión del módulo</w:t>
      </w:r>
    </w:p>
    <w:p>
      <w:pPr>
        <w:pStyle w:val="ListBullet"/>
      </w:pPr>
      <w:r>
        <w:t xml:space="preserve">La ley no prohíbe la IA: prohíbe </w:t>
      </w:r>
      <w:r>
        <w:rPr>
          <w:b/>
        </w:rPr>
        <w:t>tratar datos sin control</w:t>
      </w:r>
      <w:r>
        <w:t>.</w:t>
      </w:r>
    </w:p>
    <w:p>
      <w:pPr>
        <w:pStyle w:val="ListBullet"/>
      </w:pPr>
      <w:r>
        <w:t xml:space="preserve">Las herramientas oficiales del Banco existen, entre otras cosas, para que </w:t>
      </w:r>
      <w:r>
        <w:rPr>
          <w:b/>
        </w:rPr>
        <w:t>cumplir la ley no le cueste nada al funcionario</w:t>
      </w:r>
      <w:r>
        <w:t>.</w:t>
      </w:r>
    </w:p>
    <w:p>
      <w:pPr>
        <w:pStyle w:val="ListBullet"/>
      </w:pPr>
      <w:r>
        <w:t xml:space="preserve">Cada vez que un funcionario usa una herramienta personal con datos del Banco, genera un </w:t>
      </w:r>
      <w:r>
        <w:rPr>
          <w:b/>
        </w:rPr>
        <w:t>incumplimiento PD.1/PD.5/PD.6/PD.8</w:t>
      </w:r>
      <w:r>
        <w:t xml:space="preserve"> del MCU 5.0 y una posible sanción de la URCDP.</w:t>
      </w:r>
    </w:p>
    <w:p>
      <w:pPr>
        <w:pStyle w:val="ListBullet"/>
      </w:pPr>
      <w:r>
        <w:t xml:space="preserve">La </w:t>
      </w:r>
      <w:r>
        <w:rPr>
          <w:b/>
        </w:rPr>
        <w:t>minimización</w:t>
      </w:r>
      <w:r>
        <w:t xml:space="preserve"> es el mejor aliado: sin dato personal, no hay problema legal.</w:t>
      </w:r>
    </w:p>
    <w:p>
      <w:pPr>
        <w:ind w:left="432"/>
      </w:pPr>
      <w:r>
        <w:rPr>
          <w:i/>
          <w:color w:val="606060"/>
        </w:rPr>
        <w:t>**Ejercicio:** Mire su jornada laboral y liste tres tareas en las que usaría IA. Para cada una, responda: ¿qué datos necesito realmente? ¿Puedo hacerlo sin nombres ni números de clientes? Ese ejercicio es la práctica diaria del principio de minimización.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