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AISEC-08 · Guía técnica para TI y RSI: implementación segura</w:t>
      </w:r>
    </w:p>
    <w:p>
      <w:pPr>
        <w:ind w:left="432"/>
      </w:pPr>
      <w:r>
        <w:rPr>
          <w:i/>
          <w:color w:val="606060"/>
        </w:rPr>
        <w:t>**Función del MCU 5.0:** Este módulo es el manual técnico para proteger (PR), detectar (DE) y responder (RS) en el ecosistema de IA del Banco, con evidencia para auditoría (GV, CN).</w:t>
      </w:r>
    </w:p>
    <w:p>
      <w:pPr>
        <w:ind w:left="432"/>
      </w:pPr>
      <w:r>
        <w:rPr>
          <w:i/>
          <w:color w:val="606060"/>
        </w:rPr>
        <w:t>**ISO/IEC 27001:** Controles de red (A.8.20-A.8.21), prevención de fuga de datos (A.8.12), gestión de vulnerabilidades (A.8.8), registros (A.8.15-A.8.16), gestión de incidentes (A.5.24) y seguridad en el desarrollo (A.8.25-A.8.28).</w:t>
      </w:r>
    </w:p>
    <w:p>
      <w:pPr>
        <w:ind w:left="432"/>
      </w:pPr>
      <w:r>
        <w:rPr>
          <w:i/>
          <w:color w:val="606060"/>
        </w:rPr>
        <w:t>**BCU:** La implementación técnica de la IA debe estar documentada en los EMG y el RNRCSF, con trazabilidad y evidencia.</w:t>
      </w:r>
    </w:p>
    <w:p>
      <w:pPr>
        <w:ind w:left="432"/>
      </w:pPr>
      <w:r>
        <w:rPr>
          <w:i/>
          <w:color w:val="606060"/>
        </w:rPr>
        <w:t>**URCDP:** Seguridad de los datos (PD.5) y registro de tratamientos. La infraestructura de IA es parte del Documento de Seguridad.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Principios de diseño (arquitectura)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Control ISO 27001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Confidencialidad por defecto</w:t>
            </w:r>
          </w:p>
        </w:tc>
        <w:tc>
          <w:tcPr>
            <w:tcW w:type="dxa" w:w="3216"/>
          </w:tcPr>
          <w:p>
            <w:r/>
            <w:r>
              <w:t>El dato no sale de la infraestructura del Banco salvo autorización formal</w:t>
            </w:r>
          </w:p>
        </w:tc>
        <w:tc>
          <w:tcPr>
            <w:tcW w:type="dxa" w:w="3216"/>
          </w:tcPr>
          <w:p>
            <w:r/>
            <w:r>
              <w:t>A.8.12, A.8.20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Aislamiento</w:t>
            </w:r>
          </w:p>
        </w:tc>
        <w:tc>
          <w:tcPr>
            <w:tcW w:type="dxa" w:w="3216"/>
          </w:tcPr>
          <w:p>
            <w:r/>
            <w:r>
              <w:t>La IA no tiene acceso directo a sistemas productivos (cuentas, pagos, core)</w:t>
            </w:r>
          </w:p>
        </w:tc>
        <w:tc>
          <w:tcPr>
            <w:tcW w:type="dxa" w:w="3216"/>
          </w:tcPr>
          <w:p>
            <w:r/>
            <w:r>
              <w:t>A.8.21, A.8.23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Menor privilegio</w:t>
            </w:r>
          </w:p>
        </w:tc>
        <w:tc>
          <w:tcPr>
            <w:tcW w:type="dxa" w:w="3216"/>
          </w:tcPr>
          <w:p>
            <w:r/>
            <w:r>
              <w:t>Cada usuario/rol ve solo lo que necesita</w:t>
            </w:r>
          </w:p>
        </w:tc>
        <w:tc>
          <w:tcPr>
            <w:tcW w:type="dxa" w:w="3216"/>
          </w:tcPr>
          <w:p>
            <w:r/>
            <w:r>
              <w:t>A.5.15, A.8.2-A.8.3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Trazabilidad total</w:t>
            </w:r>
          </w:p>
        </w:tc>
        <w:tc>
          <w:tcPr>
            <w:tcW w:type="dxa" w:w="3216"/>
          </w:tcPr>
          <w:p>
            <w:r/>
            <w:r>
              <w:t>Todo uso queda en logs auditables</w:t>
            </w:r>
          </w:p>
        </w:tc>
        <w:tc>
          <w:tcPr>
            <w:tcW w:type="dxa" w:w="3216"/>
          </w:tcPr>
          <w:p>
            <w:r/>
            <w:r>
              <w:t>A.8.15-A.8.16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Revisión humana</w:t>
            </w:r>
          </w:p>
        </w:tc>
        <w:tc>
          <w:tcPr>
            <w:tcW w:type="dxa" w:w="3216"/>
          </w:tcPr>
          <w:p>
            <w:r/>
            <w:r>
              <w:t>Nada ejecutable sin aprobación humana</w:t>
            </w:r>
          </w:p>
        </w:tc>
        <w:tc>
          <w:tcPr>
            <w:tcW w:type="dxa" w:w="3216"/>
          </w:tcPr>
          <w:p>
            <w:r/>
            <w:r>
              <w:t>A.5.15, A.5.24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Fuentes controladas</w:t>
            </w:r>
          </w:p>
        </w:tc>
        <w:tc>
          <w:tcPr>
            <w:tcW w:type="dxa" w:w="3216"/>
          </w:tcPr>
          <w:p>
            <w:r/>
            <w:r>
              <w:t>Solo documentos internos autorizados entran al RAG</w:t>
            </w:r>
          </w:p>
        </w:tc>
        <w:tc>
          <w:tcPr>
            <w:tcW w:type="dxa" w:w="3216"/>
          </w:tcPr>
          <w:p>
            <w:r/>
            <w:r>
              <w:t>A.5.12, A.8.25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Implementación del ecosistema (Ollama + vLLM + BigPickle + OpenCode)</w:t>
      </w:r>
    </w:p>
    <w:p>
      <w:pPr>
        <w:pStyle w:val="Heading3"/>
      </w:pPr>
      <w:r>
        <w:rPr>
          <w:color w:val="1F3B63"/>
        </w:rPr>
        <w:t>2.1 Infraestructura</w:t>
      </w:r>
    </w:p>
    <w:p>
      <w:pPr>
        <w:pStyle w:val="ListNumber"/>
      </w:pPr>
      <w:r>
        <w:rPr>
          <w:b/>
        </w:rPr>
        <w:t>Servidores de inferencia</w:t>
      </w:r>
      <w:r>
        <w:t>: máquinas con GPU dedicadas en el datacenter del Banco (o nube contratada con contrato de protección de datos y residencia definida).</w:t>
      </w:r>
    </w:p>
    <w:p>
      <w:pPr>
        <w:pStyle w:val="ListNumber"/>
      </w:pPr>
      <w:r>
        <w:rPr>
          <w:b/>
        </w:rPr>
        <w:t>Modelos locales (Ollama)</w:t>
      </w:r>
      <w:r>
        <w:t xml:space="preserve">: se descargan versiones </w:t>
      </w:r>
      <w:r>
        <w:rPr>
          <w:b/>
        </w:rPr>
        <w:t>verificadas y con hash</w:t>
      </w:r>
      <w:r>
        <w:t xml:space="preserve"> desde fuentes confiables; se mantienen actualizadas.</w:t>
      </w:r>
    </w:p>
    <w:p>
      <w:pPr>
        <w:pStyle w:val="ListNumber"/>
      </w:pPr>
      <w:r>
        <w:rPr>
          <w:b/>
        </w:rPr>
        <w:t>vLLM</w:t>
      </w:r>
      <w:r>
        <w:t>: expone el modelo como servicio interno con autenticación y limitación de concurrencia.</w:t>
      </w:r>
    </w:p>
    <w:p>
      <w:pPr>
        <w:pStyle w:val="ListNumber"/>
      </w:pPr>
      <w:r>
        <w:rPr>
          <w:b/>
        </w:rPr>
        <w:t>BigPickle</w:t>
      </w:r>
      <w:r>
        <w:t>: interfaz web interna (solo accesible por la red/VPN del Banco), con autenticación por usuario.</w:t>
      </w:r>
    </w:p>
    <w:p>
      <w:pPr>
        <w:pStyle w:val="ListNumber"/>
      </w:pPr>
      <w:r>
        <w:rPr>
          <w:b/>
        </w:rPr>
        <w:t>OpenCode</w:t>
      </w:r>
      <w:r>
        <w:t>: instalado en estaciones de desarrollo, apuntando al servicio interno vLLM.</w:t>
      </w:r>
    </w:p>
    <w:p>
      <w:pPr>
        <w:pStyle w:val="Heading3"/>
      </w:pPr>
      <w:r>
        <w:rPr>
          <w:color w:val="1F3B63"/>
        </w:rPr>
        <w:t>2.2 Configuración de seguridad mínima</w:t>
      </w:r>
    </w:p>
    <w:p>
      <w:pPr>
        <w:pStyle w:val="ListBullet"/>
      </w:pPr>
      <w:r>
        <w:t>☐ Autenticación de todos los usuarios (SSO del Banco, MFA).</w:t>
      </w:r>
    </w:p>
    <w:p>
      <w:pPr>
        <w:pStyle w:val="ListBullet"/>
      </w:pPr>
      <w:r>
        <w:t>☐ Trazabilidad: registro de cada consulta (usuario, fecha, herramienta, modelo, resumen).</w:t>
      </w:r>
    </w:p>
    <w:p>
      <w:pPr>
        <w:pStyle w:val="ListBullet"/>
      </w:pPr>
      <w:r>
        <w:t xml:space="preserve">☐ </w:t>
      </w:r>
      <w:r>
        <w:rPr>
          <w:b/>
        </w:rPr>
        <w:t>No logging de datos personales</w:t>
      </w:r>
      <w:r>
        <w:t>: los logs guardan metadatos, no el contenido de los datos protegidos. Si se guarda el prompt, se anonimiza o se protege en acceso restringido.</w:t>
      </w:r>
    </w:p>
    <w:p>
      <w:pPr>
        <w:pStyle w:val="ListBullet"/>
      </w:pPr>
      <w:r>
        <w:t>☐ Límites de uso por usuario/rol (evita extracción masiva).</w:t>
      </w:r>
    </w:p>
    <w:p>
      <w:pPr>
        <w:pStyle w:val="ListBullet"/>
      </w:pPr>
      <w:r>
        <w:t xml:space="preserve">☐ Bloqueo de salida: las herramientas locales </w:t>
      </w:r>
      <w:r>
        <w:rPr>
          <w:b/>
        </w:rPr>
        <w:t>no se conectan a internet</w:t>
      </w:r>
      <w:r>
        <w:t xml:space="preserve"> para tareas con datos confidenciales.</w:t>
      </w:r>
    </w:p>
    <w:p>
      <w:pPr>
        <w:pStyle w:val="ListBullet"/>
      </w:pPr>
      <w:r>
        <w:t>☐ Actualizaciones y parches de los servidores de IA (gestión de vulnerabilidades).</w:t>
      </w:r>
    </w:p>
    <w:p>
      <w:pPr>
        <w:pStyle w:val="Heading3"/>
      </w:pPr>
      <w:r>
        <w:rPr>
          <w:color w:val="1F3B63"/>
        </w:rPr>
        <w:t>2.3 RAG seguro</w:t>
      </w:r>
    </w:p>
    <w:p>
      <w:pPr>
        <w:pStyle w:val="ListNumber"/>
      </w:pPr>
      <w:r>
        <w:rPr>
          <w:b/>
        </w:rPr>
        <w:t>Repositorio controlado</w:t>
      </w:r>
      <w:r>
        <w:t>: solo documentos internos clasificados y aprobados.</w:t>
      </w:r>
    </w:p>
    <w:p>
      <w:pPr>
        <w:pStyle w:val="ListNumber"/>
      </w:pPr>
      <w:r>
        <w:rPr>
          <w:b/>
        </w:rPr>
        <w:t>Troceado + vectorización</w:t>
      </w:r>
      <w:r>
        <w:t xml:space="preserve"> con embeddings internos.</w:t>
      </w:r>
    </w:p>
    <w:p>
      <w:pPr>
        <w:pStyle w:val="ListNumber"/>
      </w:pPr>
      <w:r>
        <w:rPr>
          <w:b/>
        </w:rPr>
        <w:t>Base de vectores</w:t>
      </w:r>
      <w:r>
        <w:t xml:space="preserve"> en la red del Banco.</w:t>
      </w:r>
    </w:p>
    <w:p>
      <w:pPr>
        <w:pStyle w:val="ListNumber"/>
      </w:pPr>
      <w:r>
        <w:rPr>
          <w:b/>
        </w:rPr>
        <w:t>Filtro por rol</w:t>
      </w:r>
      <w:r>
        <w:t>: cada consulta solo recupera documentos que el rol puede ver.</w:t>
      </w:r>
    </w:p>
    <w:p>
      <w:pPr>
        <w:pStyle w:val="ListNumber"/>
      </w:pPr>
      <w:r>
        <w:rPr>
          <w:b/>
        </w:rPr>
        <w:t>Registro de fuentes</w:t>
      </w:r>
      <w:r>
        <w:t>: se guarda qué documentos respondieron cada consulta.</w:t>
      </w:r>
    </w:p>
    <w:p>
      <w:pPr>
        <w:pStyle w:val="ListNumber"/>
      </w:pPr>
      <w:r>
        <w:rPr>
          <w:b/>
        </w:rPr>
        <w:t>Revisión periódica</w:t>
      </w:r>
      <w:r>
        <w:t>: retirar documentos vencidos (PD.2, PD.8).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Red, firewall y DLP para la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Lista blanca de dominios</w:t>
            </w:r>
          </w:p>
        </w:tc>
        <w:tc>
          <w:tcPr>
            <w:tcW w:type="dxa" w:w="4824"/>
          </w:tcPr>
          <w:p>
            <w:r/>
            <w:r>
              <w:t>Solo dominios de IA autorizados (si los hay); todo el resto de servicios de IA externos se bloquea en el proxy/firewall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DLP (prevención de fuga de datos)</w:t>
            </w:r>
          </w:p>
        </w:tc>
        <w:tc>
          <w:tcPr>
            <w:tcW w:type="dxa" w:w="4824"/>
          </w:tcPr>
          <w:p>
            <w:r/>
            <w:r>
              <w:t>Reglas que detectan patrones de datos personales (cédula, tarjetas) en salidas a la web y las bloquean (control A.8.12)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Segmentación</w:t>
            </w:r>
          </w:p>
        </w:tc>
        <w:tc>
          <w:tcPr>
            <w:tcW w:type="dxa" w:w="4824"/>
          </w:tcPr>
          <w:p>
            <w:r/>
            <w:r>
              <w:t>La red de IA está segmentada; solo los puertos necesarios abiertos (A.8.20)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Registro de tráfico</w:t>
            </w:r>
          </w:p>
        </w:tc>
        <w:tc>
          <w:tcPr>
            <w:tcW w:type="dxa" w:w="4824"/>
          </w:tcPr>
          <w:p>
            <w:r/>
            <w:r>
              <w:t>Logs de conexiones hacia servicios de IA externos (detección de shadow IA)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VPN</w:t>
            </w:r>
          </w:p>
        </w:tc>
        <w:tc>
          <w:tcPr>
            <w:tcW w:type="dxa" w:w="4824"/>
          </w:tcPr>
          <w:p>
            <w:r/>
            <w:r>
              <w:t>El acceso remoto a las herramientas de IA solo por VPN corporativa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Monitoreo y detección (DE)</w:t>
      </w:r>
    </w:p>
    <w:p>
      <w:pPr>
        <w:pStyle w:val="Heading3"/>
      </w:pPr>
      <w:r>
        <w:rPr>
          <w:color w:val="1F3B63"/>
        </w:rPr>
        <w:t>Señales de alerta a monitorear (SIEM / logs)</w:t>
      </w:r>
    </w:p>
    <w:p>
      <w:pPr>
        <w:pStyle w:val="ListBullet"/>
      </w:pPr>
      <w:r>
        <w:t xml:space="preserve">Conexiones a dominios de IA </w:t>
      </w:r>
      <w:r>
        <w:rPr>
          <w:b/>
        </w:rPr>
        <w:t>no autorizados</w:t>
      </w:r>
      <w:r>
        <w:t xml:space="preserve"> (shadow IA).</w:t>
      </w:r>
    </w:p>
    <w:p>
      <w:pPr>
        <w:pStyle w:val="ListBullet"/>
      </w:pPr>
      <w:r>
        <w:t xml:space="preserve">Consultas de un usuario con </w:t>
      </w:r>
      <w:r>
        <w:rPr>
          <w:b/>
        </w:rPr>
        <w:t>volumen anómalo</w:t>
      </w:r>
      <w:r>
        <w:t xml:space="preserve"> (posible exfiltración).</w:t>
      </w:r>
    </w:p>
    <w:p>
      <w:pPr>
        <w:pStyle w:val="ListBullet"/>
      </w:pPr>
      <w:r>
        <w:t xml:space="preserve">Patrones típicos de </w:t>
      </w:r>
      <w:r>
        <w:rPr>
          <w:b/>
        </w:rPr>
        <w:t>prompt injection</w:t>
      </w:r>
      <w:r>
        <w:t xml:space="preserve"> en prompts (frases de "ignorá tus instrucciones").</w:t>
      </w:r>
    </w:p>
    <w:p>
      <w:pPr>
        <w:pStyle w:val="ListBullet"/>
      </w:pPr>
      <w:r>
        <w:t>Intentos de acceso a documentos del RAG fuera del rol.</w:t>
      </w:r>
    </w:p>
    <w:p>
      <w:pPr>
        <w:pStyle w:val="ListBullet"/>
      </w:pPr>
      <w:r>
        <w:t>Uso fuera de horario habitual (abuso de credenciales).</w:t>
      </w:r>
    </w:p>
    <w:p>
      <w:pPr>
        <w:pStyle w:val="Heading3"/>
      </w:pPr>
      <w:r>
        <w:rPr>
          <w:color w:val="1F3B63"/>
        </w:rPr>
        <w:t>Respuesta ante hallazgo</w:t>
      </w:r>
    </w:p>
    <w:p>
      <w:pPr>
        <w:pStyle w:val="ListNumber"/>
      </w:pPr>
      <w:r>
        <w:rPr>
          <w:b/>
        </w:rPr>
        <w:t>Contener</w:t>
      </w:r>
      <w:r>
        <w:t>: bloquear acceso del usuario/tool.</w:t>
      </w:r>
    </w:p>
    <w:p>
      <w:pPr>
        <w:pStyle w:val="ListNumber"/>
      </w:pPr>
      <w:r>
        <w:rPr>
          <w:b/>
        </w:rPr>
        <w:t>Clasificar</w:t>
      </w:r>
      <w:r>
        <w:t>: ¿es incidente de seguridad de datos? ¿Notificable a URCDP (72 h, Decreto 64/020) o al CERTuy (Decreto 66/025)?</w:t>
      </w:r>
    </w:p>
    <w:p>
      <w:pPr>
        <w:pStyle w:val="ListNumber"/>
      </w:pPr>
      <w:r>
        <w:rPr>
          <w:b/>
        </w:rPr>
        <w:t>Investigar</w:t>
      </w:r>
      <w:r>
        <w:t xml:space="preserve"> con los logs.</w:t>
      </w:r>
    </w:p>
    <w:p>
      <w:pPr>
        <w:pStyle w:val="ListNumber"/>
      </w:pPr>
      <w:r>
        <w:rPr>
          <w:b/>
        </w:rPr>
        <w:t>Corregir</w:t>
      </w:r>
      <w:r>
        <w:t xml:space="preserve"> y documentar (RS-02).</w:t>
      </w:r>
    </w:p>
    <w:p>
      <w:pPr>
        <w:pStyle w:val="ListNumber"/>
      </w:pPr>
      <w:r>
        <w:rPr>
          <w:b/>
        </w:rPr>
        <w:t>Comunicar</w:t>
      </w:r>
      <w:r>
        <w:t xml:space="preserve"> según el plan de gestión de incidentes.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Gestión de modelos y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</w:tr>
      <w:tr>
        <w:tc>
          <w:tcPr>
            <w:tcW w:type="dxa" w:w="4824"/>
          </w:tcPr>
          <w:p>
            <w:r/>
            <w:r>
              <w:t>Verificar hash/integridad de modelos descargados</w:t>
            </w:r>
          </w:p>
        </w:tc>
        <w:tc>
          <w:tcPr>
            <w:tcW w:type="dxa" w:w="4824"/>
          </w:tcPr>
          <w:p>
            <w:r/>
            <w:r>
              <w:t>En cada descarga</w:t>
            </w:r>
          </w:p>
        </w:tc>
      </w:tr>
      <w:tr>
        <w:tc>
          <w:tcPr>
            <w:tcW w:type="dxa" w:w="4824"/>
          </w:tcPr>
          <w:p>
            <w:r/>
            <w:r>
              <w:t>Actualizar modelos y software (Ollama, vLLM, OpenCode)</w:t>
            </w:r>
          </w:p>
        </w:tc>
        <w:tc>
          <w:tcPr>
            <w:tcW w:type="dxa" w:w="4824"/>
          </w:tcPr>
          <w:p>
            <w:r/>
            <w:r>
              <w:t>Mensual / cuando haya parches críticos</w:t>
            </w:r>
          </w:p>
        </w:tc>
      </w:tr>
      <w:tr>
        <w:tc>
          <w:tcPr>
            <w:tcW w:type="dxa" w:w="4824"/>
          </w:tcPr>
          <w:p>
            <w:r/>
            <w:r>
              <w:t>Escanear vulnerabilidades de los servidores de IA</w:t>
            </w:r>
          </w:p>
        </w:tc>
        <w:tc>
          <w:tcPr>
            <w:tcW w:type="dxa" w:w="4824"/>
          </w:tcPr>
          <w:p>
            <w:r/>
            <w:r>
              <w:t>Continuo (igual que el resto de activos)</w:t>
            </w:r>
          </w:p>
        </w:tc>
      </w:tr>
      <w:tr>
        <w:tc>
          <w:tcPr>
            <w:tcW w:type="dxa" w:w="4824"/>
          </w:tcPr>
          <w:p>
            <w:r/>
            <w:r>
              <w:t>Revisar permisos y roles de los usuarios de IA</w:t>
            </w:r>
          </w:p>
        </w:tc>
        <w:tc>
          <w:tcPr>
            <w:tcW w:type="dxa" w:w="4824"/>
          </w:tcPr>
          <w:p>
            <w:r/>
            <w:r>
              <w:t>Trimestral</w:t>
            </w:r>
          </w:p>
        </w:tc>
      </w:tr>
      <w:tr>
        <w:tc>
          <w:tcPr>
            <w:tcW w:type="dxa" w:w="4824"/>
          </w:tcPr>
          <w:p>
            <w:r/>
            <w:r>
              <w:t>Prueba de prompt injection sobre el RAG y las herramientas</w:t>
            </w:r>
          </w:p>
        </w:tc>
        <w:tc>
          <w:tcPr>
            <w:tcW w:type="dxa" w:w="4824"/>
          </w:tcPr>
          <w:p>
            <w:r/>
            <w:r>
              <w:t>En cada cambio / semestral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Evidencias que debe guardar el 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demuestra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Requisito asociado</w:t>
            </w:r>
          </w:p>
        </w:tc>
      </w:tr>
      <w:tr>
        <w:tc>
          <w:tcPr>
            <w:tcW w:type="dxa" w:w="3216"/>
          </w:tcPr>
          <w:p>
            <w:r/>
            <w:r>
              <w:t>Inventario de herramientas de IA autorizadas</w:t>
            </w:r>
          </w:p>
        </w:tc>
        <w:tc>
          <w:tcPr>
            <w:tcW w:type="dxa" w:w="3216"/>
          </w:tcPr>
          <w:p>
            <w:r/>
            <w:r>
              <w:t>Control de activos (no hay shadow IA)</w:t>
            </w:r>
          </w:p>
        </w:tc>
        <w:tc>
          <w:tcPr>
            <w:tcW w:type="dxa" w:w="3216"/>
          </w:tcPr>
          <w:p>
            <w:r/>
            <w:r>
              <w:t>A.5.9, GV-02</w:t>
            </w:r>
          </w:p>
        </w:tc>
      </w:tr>
      <w:tr>
        <w:tc>
          <w:tcPr>
            <w:tcW w:type="dxa" w:w="3216"/>
          </w:tcPr>
          <w:p>
            <w:r/>
            <w:r>
              <w:t>Política de uso aceptable de IA firmada</w:t>
            </w:r>
          </w:p>
        </w:tc>
        <w:tc>
          <w:tcPr>
            <w:tcW w:type="dxa" w:w="3216"/>
          </w:tcPr>
          <w:p>
            <w:r/>
            <w:r>
              <w:t>Marco de uso permitido</w:t>
            </w:r>
          </w:p>
        </w:tc>
        <w:tc>
          <w:tcPr>
            <w:tcW w:type="dxa" w:w="3216"/>
          </w:tcPr>
          <w:p>
            <w:r/>
            <w:r>
              <w:t>templates-ISACA-02, VPOL-07</w:t>
            </w:r>
          </w:p>
        </w:tc>
      </w:tr>
      <w:tr>
        <w:tc>
          <w:tcPr>
            <w:tcW w:type="dxa" w:w="3216"/>
          </w:tcPr>
          <w:p>
            <w:r/>
            <w:r>
              <w:t>Contrato/protección de datos con proveedores de nube (si aplica)</w:t>
            </w:r>
          </w:p>
        </w:tc>
        <w:tc>
          <w:tcPr>
            <w:tcW w:type="dxa" w:w="3216"/>
          </w:tcPr>
          <w:p>
            <w:r/>
            <w:r>
              <w:t>Base legal y garantías</w:t>
            </w:r>
          </w:p>
        </w:tc>
        <w:tc>
          <w:tcPr>
            <w:tcW w:type="dxa" w:w="3216"/>
          </w:tcPr>
          <w:p>
            <w:r/>
            <w:r>
              <w:t>A.5.31-A.5.35, PD.5</w:t>
            </w:r>
          </w:p>
        </w:tc>
      </w:tr>
      <w:tr>
        <w:tc>
          <w:tcPr>
            <w:tcW w:type="dxa" w:w="3216"/>
          </w:tcPr>
          <w:p>
            <w:r/>
            <w:r>
              <w:t>Documento de seguridad actualizado con el ecosistema IA</w:t>
            </w:r>
          </w:p>
        </w:tc>
        <w:tc>
          <w:tcPr>
            <w:tcW w:type="dxa" w:w="3216"/>
          </w:tcPr>
          <w:p>
            <w:r/>
            <w:r>
              <w:t>Seguridad de los tratamientos</w:t>
            </w:r>
          </w:p>
        </w:tc>
        <w:tc>
          <w:tcPr>
            <w:tcW w:type="dxa" w:w="3216"/>
          </w:tcPr>
          <w:p>
            <w:r/>
            <w:r>
              <w:t>URCDP, Decreto 64/020</w:t>
            </w:r>
          </w:p>
        </w:tc>
      </w:tr>
      <w:tr>
        <w:tc>
          <w:tcPr>
            <w:tcW w:type="dxa" w:w="3216"/>
          </w:tcPr>
          <w:p>
            <w:r/>
            <w:r>
              <w:t>Logs de consultas (metadatos)</w:t>
            </w:r>
          </w:p>
        </w:tc>
        <w:tc>
          <w:tcPr>
            <w:tcW w:type="dxa" w:w="3216"/>
          </w:tcPr>
          <w:p>
            <w:r/>
            <w:r>
              <w:t>Trazabilidad</w:t>
            </w:r>
          </w:p>
        </w:tc>
        <w:tc>
          <w:tcPr>
            <w:tcW w:type="dxa" w:w="3216"/>
          </w:tcPr>
          <w:p>
            <w:r/>
            <w:r>
              <w:t>A.8.15-A.8.16</w:t>
            </w:r>
          </w:p>
        </w:tc>
      </w:tr>
      <w:tr>
        <w:tc>
          <w:tcPr>
            <w:tcW w:type="dxa" w:w="3216"/>
          </w:tcPr>
          <w:p>
            <w:r/>
            <w:r>
              <w:t>Registro de documentos indexados en el RAG</w:t>
            </w:r>
          </w:p>
        </w:tc>
        <w:tc>
          <w:tcPr>
            <w:tcW w:type="dxa" w:w="3216"/>
          </w:tcPr>
          <w:p>
            <w:r/>
            <w:r>
              <w:t>Minimización y finalidad</w:t>
            </w:r>
          </w:p>
        </w:tc>
        <w:tc>
          <w:tcPr>
            <w:tcW w:type="dxa" w:w="3216"/>
          </w:tcPr>
          <w:p>
            <w:r/>
            <w:r>
              <w:t>PD.3, PD.5</w:t>
            </w:r>
          </w:p>
        </w:tc>
      </w:tr>
      <w:tr>
        <w:tc>
          <w:tcPr>
            <w:tcW w:type="dxa" w:w="3216"/>
          </w:tcPr>
          <w:p>
            <w:r/>
            <w:r>
              <w:t>Resultado de pruebas de prompt injection</w:t>
            </w:r>
          </w:p>
        </w:tc>
        <w:tc>
          <w:tcPr>
            <w:tcW w:type="dxa" w:w="3216"/>
          </w:tcPr>
          <w:p>
            <w:r/>
            <w:r>
              <w:t>Protección de la aplicación</w:t>
            </w:r>
          </w:p>
        </w:tc>
        <w:tc>
          <w:tcPr>
            <w:tcW w:type="dxa" w:w="3216"/>
          </w:tcPr>
          <w:p>
            <w:r/>
            <w:r>
              <w:t>A.8.26-A.8.28</w:t>
            </w:r>
          </w:p>
        </w:tc>
      </w:tr>
      <w:tr>
        <w:tc>
          <w:tcPr>
            <w:tcW w:type="dxa" w:w="3216"/>
          </w:tcPr>
          <w:p>
            <w:r/>
            <w:r>
              <w:t>Registro de capacitación del personal</w:t>
            </w:r>
          </w:p>
        </w:tc>
        <w:tc>
          <w:tcPr>
            <w:tcW w:type="dxa" w:w="3216"/>
          </w:tcPr>
          <w:p>
            <w:r/>
            <w:r>
              <w:t>Concienciación</w:t>
            </w:r>
          </w:p>
        </w:tc>
        <w:tc>
          <w:tcPr>
            <w:tcW w:type="dxa" w:w="3216"/>
          </w:tcPr>
          <w:p>
            <w:r/>
            <w:r>
              <w:t>A.6.3</w:t>
            </w:r>
          </w:p>
        </w:tc>
      </w:tr>
      <w:tr>
        <w:tc>
          <w:tcPr>
            <w:tcW w:type="dxa" w:w="3216"/>
          </w:tcPr>
          <w:p>
            <w:r/>
            <w:r>
              <w:t>Reporte de incidentes asociados a IA</w:t>
            </w:r>
          </w:p>
        </w:tc>
        <w:tc>
          <w:tcPr>
            <w:tcW w:type="dxa" w:w="3216"/>
          </w:tcPr>
          <w:p>
            <w:r/>
            <w:r>
              <w:t>Respuesta</w:t>
            </w:r>
          </w:p>
        </w:tc>
        <w:tc>
          <w:tcPr>
            <w:tcW w:type="dxa" w:w="3216"/>
          </w:tcPr>
          <w:p>
            <w:r/>
            <w:r>
              <w:t>RS-02, Decreto 64/020, Decreto 66/025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Checklist de implementación (para TI/RSI)</w:t>
      </w:r>
    </w:p>
    <w:p>
      <w:pPr>
        <w:pStyle w:val="ListBullet"/>
      </w:pPr>
      <w:r>
        <w:t>☐ Servidores de IA desplegados en la red del Banco (o nube contratada con garantías).</w:t>
      </w:r>
    </w:p>
    <w:p>
      <w:pPr>
        <w:pStyle w:val="ListBullet"/>
      </w:pPr>
      <w:r>
        <w:t>☐ Ollama + vLLM configurados y actualizados.</w:t>
      </w:r>
    </w:p>
    <w:p>
      <w:pPr>
        <w:pStyle w:val="ListBullet"/>
      </w:pPr>
      <w:r>
        <w:t>☐ BigPickle desplegado con SSO/MFA y límites por rol.</w:t>
      </w:r>
    </w:p>
    <w:p>
      <w:pPr>
        <w:pStyle w:val="ListBullet"/>
      </w:pPr>
      <w:r>
        <w:t>☐ OpenCode configurado contra el servicio interno.</w:t>
      </w:r>
    </w:p>
    <w:p>
      <w:pPr>
        <w:pStyle w:val="ListBullet"/>
      </w:pPr>
      <w:r>
        <w:t>☐ RAG implementado con filtro por roles y registro de fuentes.</w:t>
      </w:r>
    </w:p>
    <w:p>
      <w:pPr>
        <w:pStyle w:val="ListBullet"/>
      </w:pPr>
      <w:r>
        <w:t>☐ Dominios externos de IA bloqueados en proxy/firewall.</w:t>
      </w:r>
    </w:p>
    <w:p>
      <w:pPr>
        <w:pStyle w:val="ListBullet"/>
      </w:pPr>
      <w:r>
        <w:t>☐ DLP activo con reglas de datos personales.</w:t>
      </w:r>
    </w:p>
    <w:p>
      <w:pPr>
        <w:pStyle w:val="ListBullet"/>
      </w:pPr>
      <w:r>
        <w:t>☐ Logs de uso habilitados (metadatos).</w:t>
      </w:r>
    </w:p>
    <w:p>
      <w:pPr>
        <w:pStyle w:val="ListBullet"/>
      </w:pPr>
      <w:r>
        <w:t>☐ Política de uso aceptable aprobada y comunicada.</w:t>
      </w:r>
    </w:p>
    <w:p>
      <w:pPr>
        <w:pStyle w:val="ListBullet"/>
      </w:pPr>
      <w:r>
        <w:t>☐ EIPD realizado antes de habilitar usos con datos personales (PD.7).</w:t>
      </w:r>
    </w:p>
    <w:p>
      <w:pPr>
        <w:pStyle w:val="ListBullet"/>
      </w:pPr>
      <w:r>
        <w:t>☐ Capacitación del personal realizada y registrada.</w:t>
      </w:r>
    </w:p>
    <w:p>
      <w:pPr>
        <w:pStyle w:val="ListBullet"/>
      </w:pPr>
      <w:r>
        <w:t>☐ Plan de respuesta ante incidentes de IA probado.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Conclusión del módulo</w:t>
      </w:r>
    </w:p>
    <w:p>
      <w:pPr>
        <w:pStyle w:val="ListBullet"/>
      </w:pPr>
      <w:r>
        <w:t xml:space="preserve">La seguridad de la IA se diseña por </w:t>
      </w:r>
      <w:r>
        <w:rPr>
          <w:b/>
        </w:rPr>
        <w:t>defecto</w:t>
      </w:r>
      <w:r>
        <w:t>: aislamiento, menor privilegio, trazabilidad y revisión humana.</w:t>
      </w:r>
    </w:p>
    <w:p>
      <w:pPr>
        <w:pStyle w:val="ListBullet"/>
      </w:pPr>
      <w:r>
        <w:t xml:space="preserve">El ecosistema (Ollama, vLLM, BigPickle, OpenCode) se despliega </w:t>
      </w:r>
      <w:r>
        <w:rPr>
          <w:b/>
        </w:rPr>
        <w:t>dentro de la red del Banco</w:t>
      </w:r>
      <w:r>
        <w:t>, con bloqueo de salidas no autorizadas.</w:t>
      </w:r>
    </w:p>
    <w:p>
      <w:pPr>
        <w:pStyle w:val="ListBullet"/>
      </w:pPr>
      <w:r>
        <w:t xml:space="preserve">El </w:t>
      </w:r>
      <w:r>
        <w:rPr>
          <w:b/>
        </w:rPr>
        <w:t>DLP y el monitoreo</w:t>
      </w:r>
      <w:r>
        <w:t xml:space="preserve"> detectan shadow IA, exfiltración y prompt injection.</w:t>
      </w:r>
    </w:p>
    <w:p>
      <w:pPr>
        <w:pStyle w:val="ListBullet"/>
      </w:pPr>
      <w:r>
        <w:rPr>
          <w:b/>
        </w:rPr>
        <w:t>Toda decisión técnica queda documentada</w:t>
      </w:r>
      <w:r>
        <w:t>: esa documentación es la evidencia que Agesic, BCU y URCDP van a pedir.</w:t>
      </w:r>
    </w:p>
    <w:p>
      <w:pPr>
        <w:ind w:left="432"/>
      </w:pPr>
      <w:r>
        <w:rPr>
          <w:i/>
          <w:color w:val="606060"/>
        </w:rPr>
        <w:t>**Ejercicio (TI/RSI):** Arme el inventario de herramientas de IA actuales del Banco (autorizadas y las que aparezcan). Para cada una, indique: qué datos puede recibir, dónde se procesa, quién tiene acceso y qué evidencia deja. Ese cuadro es la base de los módulos 09 y 12.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