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AISEC-09 · Gobierno y auditoría del uso de IA</w:t>
      </w:r>
    </w:p>
    <w:p>
      <w:pPr>
        <w:ind w:left="432"/>
      </w:pPr>
      <w:r>
        <w:rPr>
          <w:i/>
          <w:color w:val="606060"/>
        </w:rPr>
        <w:t>**Función del MCU 5.0:** Este módulo vincula el uso de IA con el dominio Gobernar (GV) y los transversales CN (cumplimiento) y PD (protección de datos): política, roles, evaluación de impacto, registro de tratamientos y auditoría.</w:t>
      </w:r>
    </w:p>
    <w:p>
      <w:pPr>
        <w:ind w:left="432"/>
      </w:pPr>
      <w:r>
        <w:rPr>
          <w:i/>
          <w:color w:val="606060"/>
        </w:rPr>
        <w:t>**ISO/IEC 27001:** Liderazgo y compromiso (A.5.1), roles y responsabilidades (A.5.2-A.5.3), cumplimiento (A.5.31-A.5.34). Referencia: ISO/IEC 42001 para gobernanza de IA.</w:t>
      </w:r>
    </w:p>
    <w:p>
      <w:pPr>
        <w:ind w:left="432"/>
      </w:pPr>
      <w:r>
        <w:rPr>
          <w:i/>
          <w:color w:val="606060"/>
        </w:rPr>
        <w:t>**BCU:** El gobierno de la IA forma parte del gobierno de la información que exigen los EMG y el RNRCSF.</w:t>
      </w:r>
    </w:p>
    <w:p>
      <w:pPr>
        <w:ind w:left="432"/>
      </w:pPr>
      <w:r>
        <w:rPr>
          <w:i/>
          <w:color w:val="606060"/>
        </w:rPr>
        <w:t>**URCDP:** Responsabilidad proactiva (Ley 19.670): EIPD, registro de bases, DPD, y capacidad de responder ante titulares y ante la autoridad.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Gobierno de la IA: quién decide qué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Dirección / Alta gerencia</w:t>
            </w:r>
          </w:p>
        </w:tc>
        <w:tc>
          <w:tcPr>
            <w:tcW w:type="dxa" w:w="4824"/>
          </w:tcPr>
          <w:p>
            <w:r/>
            <w:r>
              <w:t>Aprueba la política de IA, asigna recursos y sanciona el marco de uso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Custodia el riesgo: autoriza herramientas, revisa incidentes, mantiene evidencia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 (Delegado de Protección de Datos)</w:t>
            </w:r>
          </w:p>
        </w:tc>
        <w:tc>
          <w:tcPr>
            <w:tcW w:type="dxa" w:w="4824"/>
          </w:tcPr>
          <w:p>
            <w:r/>
            <w:r>
              <w:t>Evalúa la legalidad de los tratamientos con IA y los EIPD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TI</w:t>
            </w:r>
          </w:p>
        </w:tc>
        <w:tc>
          <w:tcPr>
            <w:tcW w:type="dxa" w:w="4824"/>
          </w:tcPr>
          <w:p>
            <w:r/>
            <w:r>
              <w:t>Despliega, configura y mantiene las herramientas (AISEC-08)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Usuarios</w:t>
            </w:r>
          </w:p>
        </w:tc>
        <w:tc>
          <w:tcPr>
            <w:tcW w:type="dxa" w:w="4824"/>
          </w:tcPr>
          <w:p>
            <w:r/>
            <w:r>
              <w:t>Usan la herramienta oficial, respetan las reglas (AISEC-06/07)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4824"/>
          </w:tcPr>
          <w:p>
            <w:r/>
            <w:r>
              <w:t>Verifica el cumplimiento del marco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La política de uso aceptable de IA</w:t>
      </w:r>
    </w:p>
    <w:p>
      <w:r>
        <w:t xml:space="preserve">El Banco debe tener una </w:t>
      </w:r>
      <w:r>
        <w:rPr>
          <w:b/>
        </w:rPr>
        <w:t>política de uso aceptable de IA</w:t>
      </w:r>
      <w:r>
        <w:t xml:space="preserve"> aprobada (plantilla base: </w:t>
      </w:r>
      <w:r>
        <w:rPr>
          <w:rFonts w:ascii="Consolas" w:hAnsi="Consolas"/>
          <w:sz w:val="20"/>
        </w:rPr>
        <w:t>templates-ISACA\02-AI-Acceptable-Use</w:t>
      </w:r>
      <w:r>
        <w:t>). Contenido mínimo:</w:t>
      </w:r>
    </w:p>
    <w:p>
      <w:pPr>
        <w:pStyle w:val="ListNumber"/>
      </w:pPr>
      <w:r>
        <w:rPr>
          <w:b/>
        </w:rPr>
        <w:t>Alcance</w:t>
      </w:r>
      <w:r>
        <w:t>: herramientas oficiales autorizadas (BigPickle, OpenCode, etc.).</w:t>
      </w:r>
    </w:p>
    <w:p>
      <w:pPr>
        <w:pStyle w:val="ListNumber"/>
      </w:pPr>
      <w:r>
        <w:rPr>
          <w:b/>
        </w:rPr>
        <w:t>Prohibiciones</w:t>
      </w:r>
      <w:r>
        <w:t>: cuentas personales, datos de clientes, extensiones no autorizadas.</w:t>
      </w:r>
    </w:p>
    <w:p>
      <w:pPr>
        <w:pStyle w:val="ListNumber"/>
      </w:pPr>
      <w:r>
        <w:rPr>
          <w:b/>
        </w:rPr>
        <w:t>Clasificación de datos</w:t>
      </w:r>
      <w:r>
        <w:t>: qué datos entran y cuáles no (módulo 06).</w:t>
      </w:r>
    </w:p>
    <w:p>
      <w:pPr>
        <w:pStyle w:val="ListNumber"/>
      </w:pPr>
      <w:r>
        <w:rPr>
          <w:b/>
        </w:rPr>
        <w:t>Revisión humana</w:t>
      </w:r>
      <w:r>
        <w:t>: obligatoria sobre todo resultado.</w:t>
      </w:r>
    </w:p>
    <w:p>
      <w:pPr>
        <w:pStyle w:val="ListNumber"/>
      </w:pPr>
      <w:r>
        <w:rPr>
          <w:b/>
        </w:rPr>
        <w:t>Incidentes</w:t>
      </w:r>
      <w:r>
        <w:t>: qué hacer ante fuga, sospecha o hallazgo.</w:t>
      </w:r>
    </w:p>
    <w:p>
      <w:pPr>
        <w:pStyle w:val="ListNumber"/>
      </w:pPr>
      <w:r>
        <w:rPr>
          <w:b/>
        </w:rPr>
        <w:t>Consecuencias</w:t>
      </w:r>
      <w:r>
        <w:t>: incumplimientos y medidas.</w:t>
      </w:r>
    </w:p>
    <w:p>
      <w:pPr>
        <w:pStyle w:val="ListNumber"/>
      </w:pPr>
      <w:r>
        <w:rPr>
          <w:b/>
        </w:rPr>
        <w:t>Vigencia y revisión</w:t>
      </w:r>
      <w:r>
        <w:t>: fecha de revisión anual.</w:t>
      </w:r>
    </w:p>
    <w:p>
      <w:pPr>
        <w:ind w:left="432"/>
      </w:pPr>
      <w:r>
        <w:rPr>
          <w:i/>
          <w:color w:val="606060"/>
        </w:rPr>
        <w:t>**Nota para el RSI:** completar la plantilla ISACA-02 con el caso Banco, firmarla y comunicarla a los 300 funcionarios es evidencia directa de gobierno (GV-01/GV-02) y de concienciación (A.6.3).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Evaluación de impacto (EIPD) y registro de tratamientos</w:t>
      </w:r>
    </w:p>
    <w:p>
      <w:pPr>
        <w:pStyle w:val="Heading3"/>
      </w:pPr>
      <w:r>
        <w:rPr>
          <w:color w:val="1F3B63"/>
        </w:rPr>
        <w:t>Cuándo se necesita un EIPD (PD.7, Ley 19.670)</w:t>
      </w:r>
    </w:p>
    <w:p>
      <w:r>
        <w:t xml:space="preserve">Cuando el uso de IA involucra </w:t>
      </w:r>
      <w:r>
        <w:rPr>
          <w:b/>
        </w:rPr>
        <w:t>datos personales</w:t>
      </w:r>
      <w:r>
        <w:t xml:space="preserve"> (aunque sean anonimizados parcialmente) o datos sensibles. El EIPD documenta:</w:t>
      </w:r>
    </w:p>
    <w:p>
      <w:pPr>
        <w:pStyle w:val="ListBullet"/>
      </w:pPr>
      <w:r>
        <w:t>Qué datos se tratan y con qué base legal.</w:t>
      </w:r>
    </w:p>
    <w:p>
      <w:pPr>
        <w:pStyle w:val="ListBullet"/>
      </w:pPr>
      <w:r>
        <w:t>Qué herramienta se usa y dónde se procesa.</w:t>
      </w:r>
    </w:p>
    <w:p>
      <w:pPr>
        <w:pStyle w:val="ListBullet"/>
      </w:pPr>
      <w:r>
        <w:t>Qué riesgos existen para los titulares (fuga, acceso indebido, sesgo).</w:t>
      </w:r>
    </w:p>
    <w:p>
      <w:pPr>
        <w:pStyle w:val="ListBullet"/>
      </w:pPr>
      <w:r>
        <w:t>Qué medidas de mitigación se implementan.</w:t>
      </w:r>
    </w:p>
    <w:p>
      <w:pPr>
        <w:pStyle w:val="ListBullet"/>
      </w:pPr>
      <w:r>
        <w:t>Quién aprueba y con qué vigencia.</w:t>
      </w:r>
    </w:p>
    <w:p>
      <w:pPr>
        <w:pStyle w:val="Heading3"/>
      </w:pPr>
      <w:r>
        <w:rPr>
          <w:color w:val="1F3B63"/>
        </w:rPr>
        <w:t>Registro de bases de datos (Ley 18.331 art. 22)</w:t>
      </w:r>
    </w:p>
    <w:p>
      <w:r>
        <w:t xml:space="preserve">Si un uso de IA con datos personales configura una base de datos, debe estar </w:t>
      </w:r>
      <w:r>
        <w:rPr>
          <w:b/>
        </w:rPr>
        <w:t>registrada ante la URCDP</w:t>
      </w:r>
      <w:r>
        <w:t xml:space="preserve"> (o justificar su inscripción en el registro institucional). La herramienta local (BigPickle/Ollama) que procesa documentos internos con datos debe estar reflejada en el Documento de Seguridad.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La auditoría del uso de IA: cómo se hace</w:t>
      </w:r>
    </w:p>
    <w:p>
      <w:pPr>
        <w:pStyle w:val="Heading3"/>
      </w:pPr>
      <w:r>
        <w:rPr>
          <w:color w:val="1F3B63"/>
        </w:rPr>
        <w:t>Qué auditar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revisar</w:t>
            </w:r>
          </w:p>
        </w:tc>
      </w:tr>
      <w:tr>
        <w:tc>
          <w:tcPr>
            <w:tcW w:type="dxa" w:w="4824"/>
          </w:tcPr>
          <w:p>
            <w:r/>
            <w:r>
              <w:t>Inventario</w:t>
            </w:r>
          </w:p>
        </w:tc>
        <w:tc>
          <w:tcPr>
            <w:tcW w:type="dxa" w:w="4824"/>
          </w:tcPr>
          <w:p>
            <w:r/>
            <w:r>
              <w:t>¿Qué herramientas de IA existen y están todas autorizadas?</w:t>
            </w:r>
          </w:p>
        </w:tc>
      </w:tr>
      <w:tr>
        <w:tc>
          <w:tcPr>
            <w:tcW w:type="dxa" w:w="4824"/>
          </w:tcPr>
          <w:p>
            <w:r/>
            <w:r>
              <w:t>Política</w:t>
            </w:r>
          </w:p>
        </w:tc>
        <w:tc>
          <w:tcPr>
            <w:tcW w:type="dxa" w:w="4824"/>
          </w:tcPr>
          <w:p>
            <w:r/>
            <w:r>
              <w:t>¿Está aprobada, vigente y comunicada?</w:t>
            </w:r>
          </w:p>
        </w:tc>
      </w:tr>
      <w:tr>
        <w:tc>
          <w:tcPr>
            <w:tcW w:type="dxa" w:w="4824"/>
          </w:tcPr>
          <w:p>
            <w:r/>
            <w:r>
              <w:t>Datos</w:t>
            </w:r>
          </w:p>
        </w:tc>
        <w:tc>
          <w:tcPr>
            <w:tcW w:type="dxa" w:w="4824"/>
          </w:tcPr>
          <w:p>
            <w:r/>
            <w:r>
              <w:t>¿Qué datos ingresan a las herramientas? ¿Se respeta la clasificación?</w:t>
            </w:r>
          </w:p>
        </w:tc>
      </w:tr>
      <w:tr>
        <w:tc>
          <w:tcPr>
            <w:tcW w:type="dxa" w:w="4824"/>
          </w:tcPr>
          <w:p>
            <w:r/>
            <w:r>
              <w:t>Accesos</w:t>
            </w:r>
          </w:p>
        </w:tc>
        <w:tc>
          <w:tcPr>
            <w:tcW w:type="dxa" w:w="4824"/>
          </w:tcPr>
          <w:p>
            <w:r/>
            <w:r>
              <w:t>¿Quién tiene acceso y con qué permiso? ¿Roles coherentes?</w:t>
            </w:r>
          </w:p>
        </w:tc>
      </w:tr>
      <w:tr>
        <w:tc>
          <w:tcPr>
            <w:tcW w:type="dxa" w:w="4824"/>
          </w:tcPr>
          <w:p>
            <w:r/>
            <w:r>
              <w:t>Logs</w:t>
            </w:r>
          </w:p>
        </w:tc>
        <w:tc>
          <w:tcPr>
            <w:tcW w:type="dxa" w:w="4824"/>
          </w:tcPr>
          <w:p>
            <w:r/>
            <w:r>
              <w:t>¿Existen registros de uso? ¿Se revisan?</w:t>
            </w:r>
          </w:p>
        </w:tc>
      </w:tr>
      <w:tr>
        <w:tc>
          <w:tcPr>
            <w:tcW w:type="dxa" w:w="4824"/>
          </w:tcPr>
          <w:p>
            <w:r/>
            <w:r>
              <w:t>RAG</w:t>
            </w:r>
          </w:p>
        </w:tc>
        <w:tc>
          <w:tcPr>
            <w:tcW w:type="dxa" w:w="4824"/>
          </w:tcPr>
          <w:p>
            <w:r/>
            <w:r>
              <w:t>¿Qué documentos están indexados? ¿Están clasificados y vigentes?</w:t>
            </w:r>
          </w:p>
        </w:tc>
      </w:tr>
      <w:tr>
        <w:tc>
          <w:tcPr>
            <w:tcW w:type="dxa" w:w="4824"/>
          </w:tcPr>
          <w:p>
            <w:r/>
            <w:r>
              <w:t>Incidentes</w:t>
            </w:r>
          </w:p>
        </w:tc>
        <w:tc>
          <w:tcPr>
            <w:tcW w:type="dxa" w:w="4824"/>
          </w:tcPr>
          <w:p>
            <w:r/>
            <w:r>
              <w:t>¿Hubo hallazgos? ¿Se investigaron y documentaron?</w:t>
            </w:r>
          </w:p>
        </w:tc>
      </w:tr>
      <w:tr>
        <w:tc>
          <w:tcPr>
            <w:tcW w:type="dxa" w:w="4824"/>
          </w:tcPr>
          <w:p>
            <w:r/>
            <w:r>
              <w:t>Capacitación</w:t>
            </w:r>
          </w:p>
        </w:tc>
        <w:tc>
          <w:tcPr>
            <w:tcW w:type="dxa" w:w="4824"/>
          </w:tcPr>
          <w:p>
            <w:r/>
            <w:r>
              <w:t>¿El personal fue capacitado y firmó la política?</w:t>
            </w:r>
          </w:p>
        </w:tc>
      </w:tr>
    </w:tbl>
    <w:p>
      <w:pPr>
        <w:pStyle w:val="Heading3"/>
      </w:pPr>
      <w:r>
        <w:rPr>
          <w:color w:val="1F3B63"/>
        </w:rPr>
        <w:t>Cómo se presenta la evidencia</w:t>
      </w:r>
    </w:p>
    <w:p>
      <w:r>
        <w:t xml:space="preserve">Siguiendo el formato de evidencia del kit (MATRIZ-002, EV-01 a EV-05): para cada requisito (PD.x, CN.x, EMG, ISO 27001) se indica </w:t>
      </w:r>
      <w:r>
        <w:rPr>
          <w:b/>
        </w:rPr>
        <w:t>evidencia / cómo presentarla / área responsable / rol / justificación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Matriz de evidencia del uso de IA (ejemplo)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Cómo presentarla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Área responsable</w:t>
            </w:r>
          </w:p>
        </w:tc>
      </w:tr>
      <w:tr>
        <w:tc>
          <w:tcPr>
            <w:tcW w:type="dxa" w:w="2412"/>
          </w:tcPr>
          <w:p>
            <w:r/>
            <w:r>
              <w:t>PD.1 Legalidad</w:t>
            </w:r>
          </w:p>
        </w:tc>
        <w:tc>
          <w:tcPr>
            <w:tcW w:type="dxa" w:w="2412"/>
          </w:tcPr>
          <w:p>
            <w:r/>
            <w:r>
              <w:t>EIPD aprobado y base legal documentada</w:t>
            </w:r>
          </w:p>
        </w:tc>
        <w:tc>
          <w:tcPr>
            <w:tcW w:type="dxa" w:w="2412"/>
          </w:tcPr>
          <w:p>
            <w:r/>
            <w:r>
              <w:t>Documento firmado por RSI y DPD</w:t>
            </w:r>
          </w:p>
        </w:tc>
        <w:tc>
          <w:tcPr>
            <w:tcW w:type="dxa" w:w="2412"/>
          </w:tcPr>
          <w:p>
            <w:r/>
            <w:r>
              <w:t>Cumplimiento</w:t>
            </w:r>
          </w:p>
        </w:tc>
      </w:tr>
      <w:tr>
        <w:tc>
          <w:tcPr>
            <w:tcW w:type="dxa" w:w="2412"/>
          </w:tcPr>
          <w:p>
            <w:r/>
            <w:r>
              <w:t>PD.5 Seguridad</w:t>
            </w:r>
          </w:p>
        </w:tc>
        <w:tc>
          <w:tcPr>
            <w:tcW w:type="dxa" w:w="2412"/>
          </w:tcPr>
          <w:p>
            <w:r/>
            <w:r>
              <w:t>Configuración DLP + logs + bloqueo de dominios</w:t>
            </w:r>
          </w:p>
        </w:tc>
        <w:tc>
          <w:tcPr>
            <w:tcW w:type="dxa" w:w="2412"/>
          </w:tcPr>
          <w:p>
            <w:r/>
            <w:r>
              <w:t>Capturas de configuración y reportes</w:t>
            </w:r>
          </w:p>
        </w:tc>
        <w:tc>
          <w:tcPr>
            <w:tcW w:type="dxa" w:w="2412"/>
          </w:tcPr>
          <w:p>
            <w:r/>
            <w:r>
              <w:t>TI</w:t>
            </w:r>
          </w:p>
        </w:tc>
      </w:tr>
      <w:tr>
        <w:tc>
          <w:tcPr>
            <w:tcW w:type="dxa" w:w="2412"/>
          </w:tcPr>
          <w:p>
            <w:r/>
            <w:r>
              <w:t>PD.6 Reserva</w:t>
            </w:r>
          </w:p>
        </w:tc>
        <w:tc>
          <w:tcPr>
            <w:tcW w:type="dxa" w:w="2412"/>
          </w:tcPr>
          <w:p>
            <w:r/>
            <w:r>
              <w:t>Contratos con proveedores (si hay nube)</w:t>
            </w:r>
          </w:p>
        </w:tc>
        <w:tc>
          <w:tcPr>
            <w:tcW w:type="dxa" w:w="2412"/>
          </w:tcPr>
          <w:p>
            <w:r/>
            <w:r>
              <w:t>Contratos firmados</w:t>
            </w:r>
          </w:p>
        </w:tc>
        <w:tc>
          <w:tcPr>
            <w:tcW w:type="dxa" w:w="2412"/>
          </w:tcPr>
          <w:p>
            <w:r/>
            <w:r>
              <w:t>Compras</w:t>
            </w:r>
          </w:p>
        </w:tc>
      </w:tr>
      <w:tr>
        <w:tc>
          <w:tcPr>
            <w:tcW w:type="dxa" w:w="2412"/>
          </w:tcPr>
          <w:p>
            <w:r/>
            <w:r>
              <w:t>PD.7 Proactividad</w:t>
            </w:r>
          </w:p>
        </w:tc>
        <w:tc>
          <w:tcPr>
            <w:tcW w:type="dxa" w:w="2412"/>
          </w:tcPr>
          <w:p>
            <w:r/>
            <w:r>
              <w:t>EIPD + política aprobada</w:t>
            </w:r>
          </w:p>
        </w:tc>
        <w:tc>
          <w:tcPr>
            <w:tcW w:type="dxa" w:w="2412"/>
          </w:tcPr>
          <w:p>
            <w:r/>
            <w:r>
              <w:t>Política firmada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CN.1 Cumplimiento</w:t>
            </w:r>
          </w:p>
        </w:tc>
        <w:tc>
          <w:tcPr>
            <w:tcW w:type="dxa" w:w="2412"/>
          </w:tcPr>
          <w:p>
            <w:r/>
            <w:r>
              <w:t>Matriz de correspondencia de IA</w:t>
            </w:r>
          </w:p>
        </w:tc>
        <w:tc>
          <w:tcPr>
            <w:tcW w:type="dxa" w:w="2412"/>
          </w:tcPr>
          <w:p>
            <w:r/>
            <w:r>
              <w:t>MATRIZ (este kit)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A.6.3 Concienciación</w:t>
            </w:r>
          </w:p>
        </w:tc>
        <w:tc>
          <w:tcPr>
            <w:tcW w:type="dxa" w:w="2412"/>
          </w:tcPr>
          <w:p>
            <w:r/>
            <w:r>
              <w:t>Registro de capacitación de 300 funcionarios</w:t>
            </w:r>
          </w:p>
        </w:tc>
        <w:tc>
          <w:tcPr>
            <w:tcW w:type="dxa" w:w="2412"/>
          </w:tcPr>
          <w:p>
            <w:r/>
            <w:r>
              <w:t>Planillas firmadas</w:t>
            </w:r>
          </w:p>
        </w:tc>
        <w:tc>
          <w:tcPr>
            <w:tcW w:type="dxa" w:w="2412"/>
          </w:tcPr>
          <w:p>
            <w:r/>
            <w:r>
              <w:t>RRHH</w:t>
            </w:r>
          </w:p>
        </w:tc>
      </w:tr>
      <w:tr>
        <w:tc>
          <w:tcPr>
            <w:tcW w:type="dxa" w:w="2412"/>
          </w:tcPr>
          <w:p>
            <w:r/>
            <w:r>
              <w:t>A.8.12 DLP</w:t>
            </w:r>
          </w:p>
        </w:tc>
        <w:tc>
          <w:tcPr>
            <w:tcW w:type="dxa" w:w="2412"/>
          </w:tcPr>
          <w:p>
            <w:r/>
            <w:r>
              <w:t>Reglas DLP activas y reporte de bloqueos</w:t>
            </w:r>
          </w:p>
        </w:tc>
        <w:tc>
          <w:tcPr>
            <w:tcW w:type="dxa" w:w="2412"/>
          </w:tcPr>
          <w:p>
            <w:r/>
            <w:r>
              <w:t>Reportes de DLP</w:t>
            </w:r>
          </w:p>
        </w:tc>
        <w:tc>
          <w:tcPr>
            <w:tcW w:type="dxa" w:w="2412"/>
          </w:tcPr>
          <w:p>
            <w:r/>
            <w:r>
              <w:t>TI</w:t>
            </w:r>
          </w:p>
        </w:tc>
      </w:tr>
      <w:tr>
        <w:tc>
          <w:tcPr>
            <w:tcW w:type="dxa" w:w="2412"/>
          </w:tcPr>
          <w:p>
            <w:r/>
            <w:r>
              <w:t>RS-02 Incidentes</w:t>
            </w:r>
          </w:p>
        </w:tc>
        <w:tc>
          <w:tcPr>
            <w:tcW w:type="dxa" w:w="2412"/>
          </w:tcPr>
          <w:p>
            <w:r/>
            <w:r>
              <w:t>Registro de incidentes de IA</w:t>
            </w:r>
          </w:p>
        </w:tc>
        <w:tc>
          <w:tcPr>
            <w:tcW w:type="dxa" w:w="2412"/>
          </w:tcPr>
          <w:p>
            <w:r/>
            <w:r>
              <w:t>Reportes y cierre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Indicadores de gobierno (para reportar a dirección)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mide</w:t>
            </w:r>
          </w:p>
        </w:tc>
      </w:tr>
      <w:tr>
        <w:tc>
          <w:tcPr>
            <w:tcW w:type="dxa" w:w="4824"/>
          </w:tcPr>
          <w:p>
            <w:r/>
            <w:r>
              <w:t>% de herramientas de IA autorizadas</w:t>
            </w:r>
          </w:p>
        </w:tc>
        <w:tc>
          <w:tcPr>
            <w:tcW w:type="dxa" w:w="4824"/>
          </w:tcPr>
          <w:p>
            <w:r/>
            <w:r>
              <w:t>Control del inventario</w:t>
            </w:r>
          </w:p>
        </w:tc>
      </w:tr>
      <w:tr>
        <w:tc>
          <w:tcPr>
            <w:tcW w:type="dxa" w:w="4824"/>
          </w:tcPr>
          <w:p>
            <w:r/>
            <w:r>
              <w:t>Nº de accesos bloqueados a IA externa (DLP)</w:t>
            </w:r>
          </w:p>
        </w:tc>
        <w:tc>
          <w:tcPr>
            <w:tcW w:type="dxa" w:w="4824"/>
          </w:tcPr>
          <w:p>
            <w:r/>
            <w:r>
              <w:t>Eficacia del control de fuga</w:t>
            </w:r>
          </w:p>
        </w:tc>
      </w:tr>
      <w:tr>
        <w:tc>
          <w:tcPr>
            <w:tcW w:type="dxa" w:w="4824"/>
          </w:tcPr>
          <w:p>
            <w:r/>
            <w:r>
              <w:t>Nº de hallazgos de shadow IA</w:t>
            </w:r>
          </w:p>
        </w:tc>
        <w:tc>
          <w:tcPr>
            <w:tcW w:type="dxa" w:w="4824"/>
          </w:tcPr>
          <w:p>
            <w:r/>
            <w:r>
              <w:t>Riesgo residual</w:t>
            </w:r>
          </w:p>
        </w:tc>
      </w:tr>
      <w:tr>
        <w:tc>
          <w:tcPr>
            <w:tcW w:type="dxa" w:w="4824"/>
          </w:tcPr>
          <w:p>
            <w:r/>
            <w:r>
              <w:t>% de personal capacitado</w:t>
            </w:r>
          </w:p>
        </w:tc>
        <w:tc>
          <w:tcPr>
            <w:tcW w:type="dxa" w:w="4824"/>
          </w:tcPr>
          <w:p>
            <w:r/>
            <w:r>
              <w:t>Concienciación</w:t>
            </w:r>
          </w:p>
        </w:tc>
      </w:tr>
      <w:tr>
        <w:tc>
          <w:tcPr>
            <w:tcW w:type="dxa" w:w="4824"/>
          </w:tcPr>
          <w:p>
            <w:r/>
            <w:r>
              <w:t>Tiempo de respuesta a incidentes de IA</w:t>
            </w:r>
          </w:p>
        </w:tc>
        <w:tc>
          <w:tcPr>
            <w:tcW w:type="dxa" w:w="4824"/>
          </w:tcPr>
          <w:p>
            <w:r/>
            <w:r>
              <w:t>Capacidad de respuesta</w:t>
            </w:r>
          </w:p>
        </w:tc>
      </w:tr>
      <w:tr>
        <w:tc>
          <w:tcPr>
            <w:tcW w:type="dxa" w:w="4824"/>
          </w:tcPr>
          <w:p>
            <w:r/>
            <w:r>
              <w:t>% de respuestas con revisión humana registrada</w:t>
            </w:r>
          </w:p>
        </w:tc>
        <w:tc>
          <w:tcPr>
            <w:tcW w:type="dxa" w:w="4824"/>
          </w:tcPr>
          <w:p>
            <w:r/>
            <w:r>
              <w:t>Adhesión al proceso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El ciclo de mejora continua (PDCA aplicado a la IA)</w:t>
      </w:r>
    </w:p>
    <w:p>
      <w:pPr>
        <w:pStyle w:val="ListNumber"/>
      </w:pPr>
      <w:r>
        <w:rPr>
          <w:b/>
        </w:rPr>
        <w:t>Planificar</w:t>
      </w:r>
      <w:r>
        <w:t>: política, EIPD, inventario, capacitación.</w:t>
      </w:r>
    </w:p>
    <w:p>
      <w:pPr>
        <w:pStyle w:val="ListNumber"/>
      </w:pPr>
      <w:r>
        <w:rPr>
          <w:b/>
        </w:rPr>
        <w:t>Hacer</w:t>
      </w:r>
      <w:r>
        <w:t>: desplegar herramientas, aplicar reglas, capacitar.</w:t>
      </w:r>
    </w:p>
    <w:p>
      <w:pPr>
        <w:pStyle w:val="ListNumber"/>
      </w:pPr>
      <w:r>
        <w:rPr>
          <w:b/>
        </w:rPr>
        <w:t>Verificar</w:t>
      </w:r>
      <w:r>
        <w:t>: monitorear logs, revisar DLP, auditar, medir indicadores.</w:t>
      </w:r>
    </w:p>
    <w:p>
      <w:pPr>
        <w:pStyle w:val="ListNumber"/>
      </w:pPr>
      <w:r>
        <w:rPr>
          <w:b/>
        </w:rPr>
        <w:t>Actuar</w:t>
      </w:r>
      <w:r>
        <w:t>: corregir hallazgos, retirar herramientas no autorizadas, actualizar política.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Conclusión del módulo</w:t>
      </w:r>
    </w:p>
    <w:p>
      <w:pPr>
        <w:pStyle w:val="ListBullet"/>
      </w:pPr>
      <w:r>
        <w:t xml:space="preserve">El gobierno de la IA se sostiene en </w:t>
      </w:r>
      <w:r>
        <w:rPr>
          <w:b/>
        </w:rPr>
        <w:t>política, roles, EIPD, registro de tratamientos y auditoría</w:t>
      </w:r>
      <w:r>
        <w:t>.</w:t>
      </w:r>
    </w:p>
    <w:p>
      <w:pPr>
        <w:pStyle w:val="ListBullet"/>
      </w:pPr>
      <w:r>
        <w:t xml:space="preserve">La </w:t>
      </w:r>
      <w:r>
        <w:rPr>
          <w:b/>
        </w:rPr>
        <w:t>evidencia</w:t>
      </w:r>
      <w:r>
        <w:t xml:space="preserve"> (política firmada, logs, DLP, capacitación, incidentes) es lo que responden ante URCDP, BCU y Agesic.</w:t>
      </w:r>
    </w:p>
    <w:p>
      <w:pPr>
        <w:pStyle w:val="ListBullet"/>
      </w:pPr>
      <w:r>
        <w:t xml:space="preserve">El ciclo </w:t>
      </w:r>
      <w:r>
        <w:rPr>
          <w:b/>
        </w:rPr>
        <w:t>planificar-hacer-verificar-actuar</w:t>
      </w:r>
      <w:r>
        <w:t xml:space="preserve"> garantiza que la IA se use bien y se siga usando bien.</w:t>
      </w:r>
    </w:p>
    <w:p>
      <w:pPr>
        <w:pStyle w:val="ListBullet"/>
      </w:pPr>
      <w:r>
        <w:t>Sin gobierno, la IA es un riesgo; con gobierno, es una ventaja operativa controlada.</w:t>
      </w:r>
    </w:p>
    <w:p>
      <w:pPr>
        <w:ind w:left="432"/>
      </w:pPr>
      <w:r>
        <w:rPr>
          <w:i/>
          <w:color w:val="606060"/>
        </w:rPr>
        <w:t>**Ejercicio (RSI):** Use la plantilla `templates-ISACA\02-AI-Acceptable-Use` y redacte la política de IA del Banco Ficticio. Luego arme la matriz de evidencia (tabla del punto 5) con las áreas responsables de su institución.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