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AISEC-12 · Correspondencia normativa y checklist final</w:t>
      </w:r>
    </w:p>
    <w:p>
      <w:pPr>
        <w:ind w:left="432"/>
      </w:pPr>
      <w:r>
        <w:rPr>
          <w:i/>
          <w:color w:val="606060"/>
        </w:rPr>
        <w:t>**Función del MCU 5.0:** Este módulo cierra el curso vinculando cada aprendizaje con los requisitos auditables: funciones GV/ID/PR/DE/RS/RC y dominios transversales CN y PD del Marco de Ciberseguridad de Agesic 5.0.</w:t>
      </w:r>
    </w:p>
    <w:p>
      <w:pPr>
        <w:ind w:left="432"/>
      </w:pPr>
      <w:r>
        <w:rPr>
          <w:i/>
          <w:color w:val="606060"/>
        </w:rPr>
        <w:t>**ISO/IEC 27001:** Control A.5.31 (requisitos legales) y A.5.34 (protección de datos personales): la correspondencia permite demostrar cumplimiento con evidencia.</w:t>
      </w:r>
    </w:p>
    <w:p>
      <w:pPr>
        <w:ind w:left="432"/>
      </w:pPr>
      <w:r>
        <w:rPr>
          <w:i/>
          <w:color w:val="606060"/>
        </w:rPr>
        <w:t>**BCU:** Los EMG y el RNRCSF exigen demostrar la gestión del riesgo de IA con evidencia.</w:t>
      </w:r>
    </w:p>
    <w:p>
      <w:pPr>
        <w:ind w:left="432"/>
      </w:pPr>
      <w:r>
        <w:rPr>
          <w:i/>
          <w:color w:val="606060"/>
        </w:rPr>
        <w:t>**URCDP:** Los requisitos PD del MCU 5.0 y la Ley 18.331/Ley 19.670 quedan aterrizados en controles verificables.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Correspondencia normativa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Tema del curso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 / requisito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Evidencia a presentar</w:t>
            </w:r>
          </w:p>
        </w:tc>
      </w:tr>
      <w:tr>
        <w:tc>
          <w:tcPr>
            <w:tcW w:type="dxa" w:w="3216"/>
          </w:tcPr>
          <w:p>
            <w:r/>
            <w:r>
              <w:t>Herramientas autorizadas</w:t>
            </w:r>
          </w:p>
        </w:tc>
        <w:tc>
          <w:tcPr>
            <w:tcW w:type="dxa" w:w="3216"/>
          </w:tcPr>
          <w:p>
            <w:r/>
            <w:r>
              <w:t>EMG, RNRCSF, A.5.9, GV-02</w:t>
            </w:r>
          </w:p>
        </w:tc>
        <w:tc>
          <w:tcPr>
            <w:tcW w:type="dxa" w:w="3216"/>
          </w:tcPr>
          <w:p>
            <w:r/>
            <w:r>
              <w:t>Inventario de herramientas de IA autorizadas</w:t>
            </w:r>
          </w:p>
        </w:tc>
      </w:tr>
      <w:tr>
        <w:tc>
          <w:tcPr>
            <w:tcW w:type="dxa" w:w="3216"/>
          </w:tcPr>
          <w:p>
            <w:r/>
            <w:r>
              <w:t>Política de uso</w:t>
            </w:r>
          </w:p>
        </w:tc>
        <w:tc>
          <w:tcPr>
            <w:tcW w:type="dxa" w:w="3216"/>
          </w:tcPr>
          <w:p>
            <w:r/>
            <w:r>
              <w:t>templates-ISACA-02, VPOL-07, GV-01</w:t>
            </w:r>
          </w:p>
        </w:tc>
        <w:tc>
          <w:tcPr>
            <w:tcW w:type="dxa" w:w="3216"/>
          </w:tcPr>
          <w:p>
            <w:r/>
            <w:r>
              <w:t>Política aprobada y firmada</w:t>
            </w:r>
          </w:p>
        </w:tc>
      </w:tr>
      <w:tr>
        <w:tc>
          <w:tcPr>
            <w:tcW w:type="dxa" w:w="3216"/>
          </w:tcPr>
          <w:p>
            <w:r/>
            <w:r>
              <w:t>Datos que entran</w:t>
            </w:r>
          </w:p>
        </w:tc>
        <w:tc>
          <w:tcPr>
            <w:tcW w:type="dxa" w:w="3216"/>
          </w:tcPr>
          <w:p>
            <w:r/>
            <w:r>
              <w:t>PD.1, PD.3, PD.6, A.5.31</w:t>
            </w:r>
          </w:p>
        </w:tc>
        <w:tc>
          <w:tcPr>
            <w:tcW w:type="dxa" w:w="3216"/>
          </w:tcPr>
          <w:p>
            <w:r/>
            <w:r>
              <w:t>Matriz de clasificación de datos (módulo 06)</w:t>
            </w:r>
          </w:p>
        </w:tc>
      </w:tr>
      <w:tr>
        <w:tc>
          <w:tcPr>
            <w:tcW w:type="dxa" w:w="3216"/>
          </w:tcPr>
          <w:p>
            <w:r/>
            <w:r>
              <w:t>Minimización</w:t>
            </w:r>
          </w:p>
        </w:tc>
        <w:tc>
          <w:tcPr>
            <w:tcW w:type="dxa" w:w="3216"/>
          </w:tcPr>
          <w:p>
            <w:r/>
            <w:r>
              <w:t>PD.2, Ley 18.331 art. 9</w:t>
            </w:r>
          </w:p>
        </w:tc>
        <w:tc>
          <w:tcPr>
            <w:tcW w:type="dxa" w:w="3216"/>
          </w:tcPr>
          <w:p>
            <w:r/>
            <w:r>
              <w:t>Guía de anonimización y ejemplos</w:t>
            </w:r>
          </w:p>
        </w:tc>
      </w:tr>
      <w:tr>
        <w:tc>
          <w:tcPr>
            <w:tcW w:type="dxa" w:w="3216"/>
          </w:tcPr>
          <w:p>
            <w:r/>
            <w:r>
              <w:t>Seguridad del ecosistema</w:t>
            </w:r>
          </w:p>
        </w:tc>
        <w:tc>
          <w:tcPr>
            <w:tcW w:type="dxa" w:w="3216"/>
          </w:tcPr>
          <w:p>
            <w:r/>
            <w:r>
              <w:t>PD.5, A.8.12, A.8.20-A.8.21, PR</w:t>
            </w:r>
          </w:p>
        </w:tc>
        <w:tc>
          <w:tcPr>
            <w:tcW w:type="dxa" w:w="3216"/>
          </w:tcPr>
          <w:p>
            <w:r/>
            <w:r>
              <w:t>Configuración DLP, firewall, segmentación</w:t>
            </w:r>
          </w:p>
        </w:tc>
      </w:tr>
      <w:tr>
        <w:tc>
          <w:tcPr>
            <w:tcW w:type="dxa" w:w="3216"/>
          </w:tcPr>
          <w:p>
            <w:r/>
            <w:r>
              <w:t>Modelos locales</w:t>
            </w:r>
          </w:p>
        </w:tc>
        <w:tc>
          <w:tcPr>
            <w:tcW w:type="dxa" w:w="3216"/>
          </w:tcPr>
          <w:p>
            <w:r/>
            <w:r>
              <w:t>A.8.8, PR.06</w:t>
            </w:r>
          </w:p>
        </w:tc>
        <w:tc>
          <w:tcPr>
            <w:tcW w:type="dxa" w:w="3216"/>
          </w:tcPr>
          <w:p>
            <w:r/>
            <w:r>
              <w:t>Registro de versiones y parches de Ollama/vLLM</w:t>
            </w:r>
          </w:p>
        </w:tc>
      </w:tr>
      <w:tr>
        <w:tc>
          <w:tcPr>
            <w:tcW w:type="dxa" w:w="3216"/>
          </w:tcPr>
          <w:p>
            <w:r/>
            <w:r>
              <w:t>RAG</w:t>
            </w:r>
          </w:p>
        </w:tc>
        <w:tc>
          <w:tcPr>
            <w:tcW w:type="dxa" w:w="3216"/>
          </w:tcPr>
          <w:p>
            <w:r/>
            <w:r>
              <w:t>PD.3, PD.5, PD.7, A.5.12</w:t>
            </w:r>
          </w:p>
        </w:tc>
        <w:tc>
          <w:tcPr>
            <w:tcW w:type="dxa" w:w="3216"/>
          </w:tcPr>
          <w:p>
            <w:r/>
            <w:r>
              <w:t>Registro de documentos indexados y filtros por rol</w:t>
            </w:r>
          </w:p>
        </w:tc>
      </w:tr>
      <w:tr>
        <w:tc>
          <w:tcPr>
            <w:tcW w:type="dxa" w:w="3216"/>
          </w:tcPr>
          <w:p>
            <w:r/>
            <w:r>
              <w:t>Revisión humana</w:t>
            </w:r>
          </w:p>
        </w:tc>
        <w:tc>
          <w:tcPr>
            <w:tcW w:type="dxa" w:w="3216"/>
          </w:tcPr>
          <w:p>
            <w:r/>
            <w:r>
              <w:t>A.5.15, RS-02</w:t>
            </w:r>
          </w:p>
        </w:tc>
        <w:tc>
          <w:tcPr>
            <w:tcW w:type="dxa" w:w="3216"/>
          </w:tcPr>
          <w:p>
            <w:r/>
            <w:r>
              <w:t>Procedimiento de revisión documentado</w:t>
            </w:r>
          </w:p>
        </w:tc>
      </w:tr>
      <w:tr>
        <w:tc>
          <w:tcPr>
            <w:tcW w:type="dxa" w:w="3216"/>
          </w:tcPr>
          <w:p>
            <w:r/>
            <w:r>
              <w:t>Monitoreo</w:t>
            </w:r>
          </w:p>
        </w:tc>
        <w:tc>
          <w:tcPr>
            <w:tcW w:type="dxa" w:w="3216"/>
          </w:tcPr>
          <w:p>
            <w:r/>
            <w:r>
              <w:t>DE-01/DE-03, A.8.15-A.8.16</w:t>
            </w:r>
          </w:p>
        </w:tc>
        <w:tc>
          <w:tcPr>
            <w:tcW w:type="dxa" w:w="3216"/>
          </w:tcPr>
          <w:p>
            <w:r/>
            <w:r>
              <w:t>Reportes de logs, DLP, tráfico</w:t>
            </w:r>
          </w:p>
        </w:tc>
      </w:tr>
      <w:tr>
        <w:tc>
          <w:tcPr>
            <w:tcW w:type="dxa" w:w="3216"/>
          </w:tcPr>
          <w:p>
            <w:r/>
            <w:r>
              <w:t>Incidentes</w:t>
            </w:r>
          </w:p>
        </w:tc>
        <w:tc>
          <w:tcPr>
            <w:tcW w:type="dxa" w:w="3216"/>
          </w:tcPr>
          <w:p>
            <w:r/>
            <w:r>
              <w:t>RS-02, Decreto 64/020, Decreto 66/025</w:t>
            </w:r>
          </w:p>
        </w:tc>
        <w:tc>
          <w:tcPr>
            <w:tcW w:type="dxa" w:w="3216"/>
          </w:tcPr>
          <w:p>
            <w:r/>
            <w:r>
              <w:t>Registro de incidentes y notificaciones</w:t>
            </w:r>
          </w:p>
        </w:tc>
      </w:tr>
      <w:tr>
        <w:tc>
          <w:tcPr>
            <w:tcW w:type="dxa" w:w="3216"/>
          </w:tcPr>
          <w:p>
            <w:r/>
            <w:r>
              <w:t>Capacitación</w:t>
            </w:r>
          </w:p>
        </w:tc>
        <w:tc>
          <w:tcPr>
            <w:tcW w:type="dxa" w:w="3216"/>
          </w:tcPr>
          <w:p>
            <w:r/>
            <w:r>
              <w:t>A.6.3, PR.AT, Ley 19.670</w:t>
            </w:r>
          </w:p>
        </w:tc>
        <w:tc>
          <w:tcPr>
            <w:tcW w:type="dxa" w:w="3216"/>
          </w:tcPr>
          <w:p>
            <w:r/>
            <w:r>
              <w:t>Registro de capacitación de 300 funcionarios</w:t>
            </w:r>
          </w:p>
        </w:tc>
      </w:tr>
      <w:tr>
        <w:tc>
          <w:tcPr>
            <w:tcW w:type="dxa" w:w="3216"/>
          </w:tcPr>
          <w:p>
            <w:r/>
            <w:r>
              <w:t>EIPD</w:t>
            </w:r>
          </w:p>
        </w:tc>
        <w:tc>
          <w:tcPr>
            <w:tcW w:type="dxa" w:w="3216"/>
          </w:tcPr>
          <w:p>
            <w:r/>
            <w:r>
              <w:t>PD.7, Ley 19.670</w:t>
            </w:r>
          </w:p>
        </w:tc>
        <w:tc>
          <w:tcPr>
            <w:tcW w:type="dxa" w:w="3216"/>
          </w:tcPr>
          <w:p>
            <w:r/>
            <w:r>
              <w:t>Evaluaciones de impacto aprobadas</w:t>
            </w:r>
          </w:p>
        </w:tc>
      </w:tr>
      <w:tr>
        <w:tc>
          <w:tcPr>
            <w:tcW w:type="dxa" w:w="3216"/>
          </w:tcPr>
          <w:p>
            <w:r/>
            <w:r>
              <w:t>Gobierno</w:t>
            </w:r>
          </w:p>
        </w:tc>
        <w:tc>
          <w:tcPr>
            <w:tcW w:type="dxa" w:w="3216"/>
          </w:tcPr>
          <w:p>
            <w:r/>
            <w:r>
              <w:t>GV-01 a GV-03, ISO 42001</w:t>
            </w:r>
          </w:p>
        </w:tc>
        <w:tc>
          <w:tcPr>
            <w:tcW w:type="dxa" w:w="3216"/>
          </w:tcPr>
          <w:p>
            <w:r/>
            <w:r>
              <w:t>Política, actas, matriz de roles y responsabilidades</w:t>
            </w:r>
          </w:p>
        </w:tc>
      </w:tr>
      <w:tr>
        <w:tc>
          <w:tcPr>
            <w:tcW w:type="dxa" w:w="3216"/>
          </w:tcPr>
          <w:p>
            <w:r/>
            <w:r>
              <w:t>Auditoría</w:t>
            </w:r>
          </w:p>
        </w:tc>
        <w:tc>
          <w:tcPr>
            <w:tcW w:type="dxa" w:w="3216"/>
          </w:tcPr>
          <w:p>
            <w:r/>
            <w:r>
              <w:t>CN.1-CN.3, EV-01 a EV-05</w:t>
            </w:r>
          </w:p>
        </w:tc>
        <w:tc>
          <w:tcPr>
            <w:tcW w:type="dxa" w:w="3216"/>
          </w:tcPr>
          <w:p>
            <w:r/>
            <w:r>
              <w:t>Informes de auditoría y matrices de evidencia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Checklist final del curso (para cada rol)</w:t>
      </w:r>
    </w:p>
    <w:p>
      <w:pPr>
        <w:pStyle w:val="Heading3"/>
      </w:pPr>
      <w:r>
        <w:rPr>
          <w:color w:val="1F3B63"/>
        </w:rPr>
        <w:t>Para todos los funcionarios</w:t>
      </w:r>
    </w:p>
    <w:p>
      <w:pPr>
        <w:pStyle w:val="ListBullet"/>
      </w:pPr>
      <w:r>
        <w:t>☐ Conozco la herramienta oficial (BigPickle) y sé abrirla.</w:t>
      </w:r>
    </w:p>
    <w:p>
      <w:pPr>
        <w:pStyle w:val="ListBullet"/>
      </w:pPr>
      <w:r>
        <w:t>☐ Conozco las reglas de oro de datos (tabla 🟢/🟡/🔴).</w:t>
      </w:r>
    </w:p>
    <w:p>
      <w:pPr>
        <w:pStyle w:val="ListBullet"/>
      </w:pPr>
      <w:r>
        <w:t>☐ Sé anonimizar y cuándo preguntar al DPD.</w:t>
      </w:r>
    </w:p>
    <w:p>
      <w:pPr>
        <w:pStyle w:val="ListBullet"/>
      </w:pPr>
      <w:r>
        <w:t>☐ Reviso siempre los resultados de la IA antes de usarlos.</w:t>
      </w:r>
    </w:p>
    <w:p>
      <w:pPr>
        <w:pStyle w:val="ListBullet"/>
      </w:pPr>
      <w:r>
        <w:t>☐ Firmé la política de uso aceptable de IA.</w:t>
      </w:r>
    </w:p>
    <w:p>
      <w:pPr>
        <w:pStyle w:val="ListBullet"/>
      </w:pPr>
      <w:r>
        <w:t>☐ Sé a quién avisar ante una sospecha o un incidente.</w:t>
      </w:r>
    </w:p>
    <w:p>
      <w:pPr>
        <w:pStyle w:val="Heading3"/>
      </w:pPr>
      <w:r>
        <w:rPr>
          <w:color w:val="1F3B63"/>
        </w:rPr>
        <w:t>Para desarrollo / TI</w:t>
      </w:r>
    </w:p>
    <w:p>
      <w:pPr>
        <w:pStyle w:val="ListBullet"/>
      </w:pPr>
      <w:r>
        <w:t>☐ OpenCode configurado contra el servicio interno (no a internet).</w:t>
      </w:r>
    </w:p>
    <w:p>
      <w:pPr>
        <w:pStyle w:val="ListBullet"/>
      </w:pPr>
      <w:r>
        <w:t>☐ Trabajo solo con datos de desarrollo/QA, nunca producción.</w:t>
      </w:r>
    </w:p>
    <w:p>
      <w:pPr>
        <w:pStyle w:val="ListBullet"/>
      </w:pPr>
      <w:r>
        <w:t>☐ Reviso el diff antes de aceptar cambios.</w:t>
      </w:r>
    </w:p>
    <w:p>
      <w:pPr>
        <w:pStyle w:val="ListBullet"/>
      </w:pPr>
      <w:r>
        <w:t>☐ El RAG respeta roles y registra fuentes.</w:t>
      </w:r>
    </w:p>
    <w:p>
      <w:pPr>
        <w:pStyle w:val="Heading3"/>
      </w:pPr>
      <w:r>
        <w:rPr>
          <w:color w:val="1F3B63"/>
        </w:rPr>
        <w:t>Para el RSI</w:t>
      </w:r>
    </w:p>
    <w:p>
      <w:pPr>
        <w:pStyle w:val="ListBullet"/>
      </w:pPr>
      <w:r>
        <w:t>☐ Inventario de herramientas de IA actualizado.</w:t>
      </w:r>
    </w:p>
    <w:p>
      <w:pPr>
        <w:pStyle w:val="ListBullet"/>
      </w:pPr>
      <w:r>
        <w:t>☐ Política de IA aprobada, comunicada y archivada.</w:t>
      </w:r>
    </w:p>
    <w:p>
      <w:pPr>
        <w:pStyle w:val="ListBullet"/>
      </w:pPr>
      <w:r>
        <w:t>☐ EIPD realizados para usos con datos personales.</w:t>
      </w:r>
    </w:p>
    <w:p>
      <w:pPr>
        <w:pStyle w:val="ListBullet"/>
      </w:pPr>
      <w:r>
        <w:t>☐ Logs, DLP y monitoreo activos.</w:t>
      </w:r>
    </w:p>
    <w:p>
      <w:pPr>
        <w:pStyle w:val="ListBullet"/>
      </w:pPr>
      <w:r>
        <w:t>☐ Plan de respuesta ante incidentes de IA probado.</w:t>
      </w:r>
    </w:p>
    <w:p>
      <w:pPr>
        <w:pStyle w:val="ListBullet"/>
      </w:pPr>
      <w:r>
        <w:t>☐ Matriz de evidencia completa (módulo 09).</w:t>
      </w:r>
    </w:p>
    <w:p>
      <w:pPr>
        <w:pStyle w:val="ListBullet"/>
      </w:pPr>
      <w:r>
        <w:t>☐ Reporte de indicadores a dirección.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Checklist operativo de control</w:t>
      </w:r>
    </w:p>
    <w:p>
      <w:pPr>
        <w:pStyle w:val="Heading3"/>
      </w:pPr>
      <w:r>
        <w:rPr>
          <w:color w:val="1F3B63"/>
        </w:rPr>
        <w:t>Semanal</w:t>
      </w:r>
    </w:p>
    <w:p>
      <w:pPr>
        <w:pStyle w:val="ListBullet"/>
      </w:pPr>
      <w:r>
        <w:t>☐ Revisar alertas DLP y tráfico hacia IA externa.</w:t>
      </w:r>
    </w:p>
    <w:p>
      <w:pPr>
        <w:pStyle w:val="ListBullet"/>
      </w:pPr>
      <w:r>
        <w:t>☐ Confirmar que no hay extensiones de IA nuevas en los equipos.</w:t>
      </w:r>
    </w:p>
    <w:p>
      <w:pPr>
        <w:pStyle w:val="Heading3"/>
      </w:pPr>
      <w:r>
        <w:rPr>
          <w:color w:val="1F3B63"/>
        </w:rPr>
        <w:t>Mensual</w:t>
      </w:r>
    </w:p>
    <w:p>
      <w:pPr>
        <w:pStyle w:val="ListBullet"/>
      </w:pPr>
      <w:r>
        <w:t>☐ Revisar logs de uso de BigPickle/OpenCode (patrones anómalos).</w:t>
      </w:r>
    </w:p>
    <w:p>
      <w:pPr>
        <w:pStyle w:val="ListBullet"/>
      </w:pPr>
      <w:r>
        <w:t>☐ Verificar actualizaciones de Ollama, vLLM y modelos.</w:t>
      </w:r>
    </w:p>
    <w:p>
      <w:pPr>
        <w:pStyle w:val="ListBullet"/>
      </w:pPr>
      <w:r>
        <w:t>☐ Actualizar el inventario de herramientas.</w:t>
      </w:r>
    </w:p>
    <w:p>
      <w:pPr>
        <w:pStyle w:val="Heading3"/>
      </w:pPr>
      <w:r>
        <w:rPr>
          <w:color w:val="1F3B63"/>
        </w:rPr>
        <w:t>Trimestral</w:t>
      </w:r>
    </w:p>
    <w:p>
      <w:pPr>
        <w:pStyle w:val="ListBullet"/>
      </w:pPr>
      <w:r>
        <w:t>☐ Revisar roles y permisos de los usuarios de IA.</w:t>
      </w:r>
    </w:p>
    <w:p>
      <w:pPr>
        <w:pStyle w:val="ListBullet"/>
      </w:pPr>
      <w:r>
        <w:t>☐ Revisar documentos indexados en el RAG (retirar vencidos).</w:t>
      </w:r>
    </w:p>
    <w:p>
      <w:pPr>
        <w:pStyle w:val="ListBullet"/>
      </w:pPr>
      <w:r>
        <w:t>☐ Probar prompt injection sobre el RAG y las herramientas.</w:t>
      </w:r>
    </w:p>
    <w:p>
      <w:pPr>
        <w:pStyle w:val="Heading3"/>
      </w:pPr>
      <w:r>
        <w:rPr>
          <w:color w:val="1F3B63"/>
        </w:rPr>
        <w:t>Anual</w:t>
      </w:r>
    </w:p>
    <w:p>
      <w:pPr>
        <w:pStyle w:val="ListBullet"/>
      </w:pPr>
      <w:r>
        <w:t>☐ Revisar y volver a aprobar la política de IA.</w:t>
      </w:r>
    </w:p>
    <w:p>
      <w:pPr>
        <w:pStyle w:val="ListBullet"/>
      </w:pPr>
      <w:r>
        <w:t>☐ Repetir la capacitación (al menos una píldora de actualización).</w:t>
      </w:r>
    </w:p>
    <w:p>
      <w:pPr>
        <w:pStyle w:val="ListBullet"/>
      </w:pPr>
      <w:r>
        <w:t>☐ Auditar el uso de IA e informar a dirección.</w:t>
      </w:r>
    </w:p>
    <w:p>
      <w:pPr>
        <w:pStyle w:val="ListBullet"/>
      </w:pPr>
      <w:r>
        <w:t>☐ Actualizar la matriz de correspondencia normativa.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Respuestas a los ejercicios</w:t>
      </w:r>
    </w:p>
    <w:p>
      <w:pPr>
        <w:pStyle w:val="Heading3"/>
      </w:pPr>
      <w:r>
        <w:rPr>
          <w:color w:val="1F3B63"/>
        </w:rPr>
        <w:t>Módulo 06 (clasificar datos)</w:t>
      </w:r>
    </w:p>
    <w:p>
      <w:pPr>
        <w:pStyle w:val="ListNumber"/>
      </w:pPr>
      <w:r>
        <w:t>"Cliente con 90 días de mora en sucursal 3" → 🟡 Condicionado (puede combinarse e identificar; requiere anonimización o permiso).</w:t>
      </w:r>
    </w:p>
    <w:p>
      <w:pPr>
        <w:pStyle w:val="ListNumber"/>
      </w:pPr>
      <w:r>
        <w:t>"Juan Pérez, 4.500 USD de deuda" → 🔴 Prohibido (dato personal identificable).</w:t>
      </w:r>
    </w:p>
    <w:p>
      <w:pPr>
        <w:pStyle w:val="ListNumber"/>
      </w:pPr>
      <w:r>
        <w:t>"Borrador de correo de bienvenida a nuevos clientes (sin datos)" → 🟢 Seguro.</w:t>
      </w:r>
    </w:p>
    <w:p>
      <w:pPr>
        <w:pStyle w:val="ListNumber"/>
      </w:pPr>
      <w:r>
        <w:t>"código del módulo de liquidación de intereses" → 🟡 Condicionado (solo OpenCode en entorno de desarrollo; nunca herramientas externas).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Cierre del curso</w:t>
      </w:r>
    </w:p>
    <w:p>
      <w:r>
        <w:t xml:space="preserve">Usted terminó el curso </w:t>
      </w:r>
      <w:r>
        <w:rPr>
          <w:b/>
        </w:rPr>
        <w:t>"Inteligencia artificial y ciberseguridad: usar la IA bien, sin filtrar nada"</w:t>
      </w:r>
      <w:r>
        <w:t>. Lo que debe quedarse grabado:</w:t>
      </w:r>
    </w:p>
    <w:p>
      <w:pPr>
        <w:pStyle w:val="ListNumber"/>
      </w:pPr>
      <w:r>
        <w:rPr>
          <w:b/>
        </w:rPr>
        <w:t>La IA es una herramienta de redacción, no una fuente de verdad</w:t>
      </w:r>
      <w:r>
        <w:t>: se revisa siempre.</w:t>
      </w:r>
    </w:p>
    <w:p>
      <w:pPr>
        <w:pStyle w:val="ListNumber"/>
      </w:pPr>
      <w:r>
        <w:rPr>
          <w:b/>
        </w:rPr>
        <w:t>El dato que identifica a una persona no entra por chat</w:t>
      </w:r>
      <w:r>
        <w:t>: anonimizar o no usar.</w:t>
      </w:r>
    </w:p>
    <w:p>
      <w:pPr>
        <w:pStyle w:val="ListNumber"/>
      </w:pPr>
      <w:r>
        <w:rPr>
          <w:b/>
        </w:rPr>
        <w:t>La herramienta oficial existe para que no necesite otra</w:t>
      </w:r>
      <w:r>
        <w:t>: úsela y pida mejoras.</w:t>
      </w:r>
    </w:p>
    <w:p>
      <w:pPr>
        <w:pStyle w:val="ListNumber"/>
      </w:pPr>
      <w:r>
        <w:rPr>
          <w:b/>
        </w:rPr>
        <w:t>Las fugas se evitan con cultura, no solo con tecnología</w:t>
      </w:r>
      <w:r>
        <w:t>: política + capacitación + monitoreo + alternativa.</w:t>
      </w:r>
    </w:p>
    <w:p>
      <w:pPr>
        <w:pStyle w:val="ListNumber"/>
      </w:pPr>
      <w:r>
        <w:rPr>
          <w:b/>
        </w:rPr>
        <w:t>Todo queda documentado</w:t>
      </w:r>
      <w:r>
        <w:t>: ese es el expediente que responde ante URCDP, BCU y Agesic.</w:t>
      </w:r>
    </w:p>
    <w:p>
      <w:pPr>
        <w:ind w:left="432"/>
      </w:pPr>
      <w:r>
        <w:rPr>
          <w:i/>
          <w:color w:val="606060"/>
        </w:rPr>
        <w:t>**La regla de oro final:** en el Banco, la IA se usa con la herramienta oficial, con los datos que la política autoriza, y siempre con revisión humana. Lo que no está autorizado, no se hace — ni "por única vez". Si algún día la herramienta oficial no le alcanza, se pide por el canal formal; la respuesta llega y, mientras tanto, se espera. Proteger los datos de los clientes es proteger la confianza en el Banco.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