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INFRA-14 · Decreto 66/025 y Obligaciones Normativas de Ciberseguridad</w:t>
      </w:r>
    </w:p>
    <w:p>
      <w:pPr>
        <w:ind w:left="432"/>
      </w:pPr>
      <w:r>
        <w:rPr>
          <w:i/>
          <w:color w:val="606060"/>
        </w:rPr>
        <w:t>**Función del MCU 5.0:** Gobernar (GV.RR Roles y responsabilidades, GV.OV Supervisión) y Responder (RS.CO Notificación) — el Decreto 66/025 transforma en **obligación formal** lo que el MCU recomienda como buena práctica.</w:t>
      </w:r>
    </w:p>
    <w:p>
      <w:pPr>
        <w:ind w:left="432"/>
      </w:pPr>
      <w:r>
        <w:rPr>
          <w:i/>
          <w:color w:val="606060"/>
        </w:rPr>
        <w:t>**ISO/IEC 27001:** Apoya el compromiso de la dirección (cláusula 5), el cumplimiento de requisitos legales (cláusula 6.1.3) y la notificación de incidentes (A.5.24–A.5.28).</w:t>
      </w:r>
    </w:p>
    <w:p>
      <w:pPr>
        <w:ind w:left="432"/>
      </w:pPr>
      <w:r>
        <w:rPr>
          <w:i/>
          <w:color w:val="606060"/>
        </w:rPr>
        <w:t>**BCU:** Complementa la EMG: el banco queda sujeto a un doble deber, ante el BCU (supervisor financiero) y ante Agesic/CERTuy (marco nacional de ciberseguridad).</w:t>
      </w:r>
    </w:p>
    <w:p>
      <w:pPr>
        <w:ind w:left="432"/>
      </w:pPr>
      <w:r>
        <w:rPr>
          <w:i/>
          <w:color w:val="606060"/>
        </w:rPr>
        <w:t>**URCDP:** Las obligaciones de notificación de incidentes de este decreto conviven con las de protección de datos (Ley 19.670 / Decreto 64/020).</w:t>
      </w:r>
    </w:p>
    <w:p>
      <w:pPr>
        <w:ind w:left="432"/>
      </w:pPr>
      <w:r>
        <w:rPr>
          <w:i/>
          <w:color w:val="606060"/>
        </w:rPr>
        <w:t>**Decreto 66/025:** Este módulo es el **núcleo normativo**: qué dice, a quién obliga, qué hay que hacer y cómo demostrarlo.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el Decreto 66/025 y por qué te toca</w:t>
      </w:r>
    </w:p>
    <w:p>
      <w:r>
        <w:t xml:space="preserve">El </w:t>
      </w:r>
      <w:r>
        <w:rPr>
          <w:b/>
        </w:rPr>
        <w:t>Decreto N.º 66/025</w:t>
      </w:r>
      <w:r>
        <w:t xml:space="preserve"> (promulgado el 20/02/2025, publicado el 14/03/2025) reglamenta los cometidos de la </w:t>
      </w:r>
      <w:r>
        <w:rPr>
          <w:b/>
        </w:rPr>
        <w:t>Dirección de Seguridad de la Información (DSI)</w:t>
      </w:r>
      <w:r>
        <w:t xml:space="preserve"> de Agesic, que estaban previstos en los artículos 55 de la Ley 18.046, 119 de la Ley 18.172, 73 de la Ley 18.362, 149 de la Ley 18.719 y 78 a 84 de la Ley 20.212.</w:t>
      </w:r>
    </w:p>
    <w:p>
      <w:pPr>
        <w:ind w:left="432"/>
      </w:pPr>
      <w:r>
        <w:rPr>
          <w:i/>
          <w:color w:val="606060"/>
        </w:rPr>
        <w:t>**Léelo así:** la Ley 20.212 (arts. 78–84) creó el régimen nacional de ciberseguridad y el **Registro Nacional de Incidentes de Ciberseguridad (RENIC)**. El Decreto 66/025 bajó ese régimen a tierra: dice qué tienen que hacer las entidades públicas en concreto, con plazos y con rendición de cuentas.</w:t>
      </w:r>
    </w:p>
    <w:p>
      <w:pPr>
        <w:pStyle w:val="Heading3"/>
      </w:pPr>
      <w:r>
        <w:rPr>
          <w:color w:val="1F3B63"/>
        </w:rPr>
        <w:t>¿A quién obliga?</w:t>
      </w:r>
    </w:p>
    <w:p>
      <w:r>
        <w:t xml:space="preserve">El artículo 2 del decreto extiende la aplicación a </w:t>
      </w:r>
      <w:r>
        <w:rPr>
          <w:b/>
        </w:rPr>
        <w:t>todas las entidades públicas</w:t>
      </w:r>
      <w:r>
        <w:t xml:space="preserve"> y a los </w:t>
      </w:r>
      <w:r>
        <w:rPr>
          <w:b/>
        </w:rPr>
        <w:t>entes y personas privados que prestan servicios en sectores considerados críticos</w:t>
      </w:r>
      <w:r>
        <w:t xml:space="preserve">. El Banco, por ser banco público (sector financiero / banca, sector crítico según el art. 3.j) y entidad pública, queda </w:t>
      </w:r>
      <w:r>
        <w:rPr>
          <w:b/>
        </w:rPr>
        <w:t>dentro de ambos supuestos</w:t>
      </w:r>
      <w:r>
        <w:t>. No hay duda razonable sobre la aplicabilidad al Banco.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Las definiciones que tenés que manejar (art.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Término del decreto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significa para el RSI</w:t>
            </w:r>
          </w:p>
        </w:tc>
      </w:tr>
      <w:tr>
        <w:tc>
          <w:tcPr>
            <w:tcW w:type="dxa" w:w="4824"/>
          </w:tcPr>
          <w:p>
            <w:r/>
            <w:r>
              <w:t>Evento de ciberseguridad</w:t>
            </w:r>
          </w:p>
        </w:tc>
        <w:tc>
          <w:tcPr>
            <w:tcW w:type="dxa" w:w="4824"/>
          </w:tcPr>
          <w:p>
            <w:r/>
            <w:r>
              <w:t>Cualquier ocurrencia que pueda comprometer la confidencialidad, integridad o disponibilidad</w:t>
            </w:r>
          </w:p>
        </w:tc>
      </w:tr>
      <w:tr>
        <w:tc>
          <w:tcPr>
            <w:tcW w:type="dxa" w:w="4824"/>
          </w:tcPr>
          <w:p>
            <w:r/>
            <w:r>
              <w:t>Incidente de ciberseguridad</w:t>
            </w:r>
          </w:p>
        </w:tc>
        <w:tc>
          <w:tcPr>
            <w:tcW w:type="dxa" w:w="4824"/>
          </w:tcPr>
          <w:p>
            <w:r/>
            <w:r>
              <w:t>Evento que efectivamente compromete (o intenta comprometer) la información o los sistemas</w:t>
            </w:r>
          </w:p>
        </w:tc>
      </w:tr>
      <w:tr>
        <w:tc>
          <w:tcPr>
            <w:tcW w:type="dxa" w:w="4824"/>
          </w:tcPr>
          <w:p>
            <w:r/>
            <w:r>
              <w:t>Hallazgo</w:t>
            </w:r>
          </w:p>
        </w:tc>
        <w:tc>
          <w:tcPr>
            <w:tcW w:type="dxa" w:w="4824"/>
          </w:tcPr>
          <w:p>
            <w:r/>
            <w:r>
              <w:t>Vulnerabilidad o debilidad identificada</w:t>
            </w:r>
          </w:p>
        </w:tc>
      </w:tr>
      <w:tr>
        <w:tc>
          <w:tcPr>
            <w:tcW w:type="dxa" w:w="4824"/>
          </w:tcPr>
          <w:p>
            <w:r/>
            <w:r>
              <w:t>SOC / CSIRT</w:t>
            </w:r>
          </w:p>
        </w:tc>
        <w:tc>
          <w:tcPr>
            <w:tcW w:type="dxa" w:w="4824"/>
          </w:tcPr>
          <w:p>
            <w:r/>
            <w:r>
              <w:t>Equipos de monitoreo y respuesta: el SOC observa; el CSIRT responde y coordina</w:t>
            </w:r>
          </w:p>
        </w:tc>
      </w:tr>
      <w:tr>
        <w:tc>
          <w:tcPr>
            <w:tcW w:type="dxa" w:w="4824"/>
          </w:tcPr>
          <w:p>
            <w:r/>
            <w:r>
              <w:t>RENIC</w:t>
            </w:r>
          </w:p>
        </w:tc>
        <w:tc>
          <w:tcPr>
            <w:tcW w:type="dxa" w:w="4824"/>
          </w:tcPr>
          <w:p>
            <w:r/>
            <w:r>
              <w:t>Registro Nacional de Incidentes de Ciberseguridad (Ley 20.212 art. 80)</w:t>
            </w:r>
          </w:p>
        </w:tc>
      </w:tr>
    </w:tbl>
    <w:p>
      <w:pPr>
        <w:ind w:left="432"/>
      </w:pPr>
      <w:r>
        <w:rPr>
          <w:i/>
          <w:color w:val="606060"/>
        </w:rPr>
        <w:t>**Regla práctica del RSI:** para el decreto no vale decir "no pasó nada". Si no se notifica un incidente que debía notificarse, el incumplimiento es tan grave como el incidente mismo.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Las obligaciones del Banco (art. 10) y dónde se demuestran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Literal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Obligación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Cómo se demuestra en el kit</w:t>
            </w:r>
          </w:p>
        </w:tc>
      </w:tr>
      <w:tr>
        <w:tc>
          <w:tcPr>
            <w:tcW w:type="dxa" w:w="3216"/>
          </w:tcPr>
          <w:p>
            <w:r/>
            <w:r>
              <w:t>a</w:t>
            </w:r>
          </w:p>
        </w:tc>
        <w:tc>
          <w:tcPr>
            <w:tcW w:type="dxa" w:w="3216"/>
          </w:tcPr>
          <w:p>
            <w:r/>
            <w:r>
              <w:t>Adoptar medidas de protección apropiadas</w:t>
            </w:r>
          </w:p>
        </w:tc>
        <w:tc>
          <w:tcPr>
            <w:tcW w:type="dxa" w:w="3216"/>
          </w:tcPr>
          <w:p>
            <w:r/>
            <w:r>
              <w:t>PR-01 a PR-08, INFRA-03 a INFRA-06</w:t>
            </w:r>
          </w:p>
        </w:tc>
      </w:tr>
      <w:tr>
        <w:tc>
          <w:tcPr>
            <w:tcW w:type="dxa" w:w="3216"/>
          </w:tcPr>
          <w:p>
            <w:r/>
            <w:r>
              <w:t>b</w:t>
            </w:r>
          </w:p>
        </w:tc>
        <w:tc>
          <w:tcPr>
            <w:tcW w:type="dxa" w:w="3216"/>
          </w:tcPr>
          <w:p>
            <w:r/>
            <w:r>
              <w:t>Garantizar la integridad de la información</w:t>
            </w:r>
          </w:p>
        </w:tc>
        <w:tc>
          <w:tcPr>
            <w:tcW w:type="dxa" w:w="3216"/>
          </w:tcPr>
          <w:p>
            <w:r/>
            <w:r>
              <w:t>PR-03 (cifrado), PR-05 (respaldos), INFRA-10</w:t>
            </w:r>
          </w:p>
        </w:tc>
      </w:tr>
      <w:tr>
        <w:tc>
          <w:tcPr>
            <w:tcW w:type="dxa" w:w="3216"/>
          </w:tcPr>
          <w:p>
            <w:r/>
            <w:r>
              <w:t>c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Designar un Responsable de Seguridad de la Información (RSI)</w:t>
            </w:r>
            <w:r>
              <w:t xml:space="preserve"> y su equipo</w:t>
            </w:r>
          </w:p>
        </w:tc>
        <w:tc>
          <w:tcPr>
            <w:tcW w:type="dxa" w:w="3216"/>
          </w:tcPr>
          <w:p>
            <w:r/>
            <w:r>
              <w:t>GV-03 (rol del RSI)</w:t>
            </w:r>
          </w:p>
        </w:tc>
      </w:tr>
      <w:tr>
        <w:tc>
          <w:tcPr>
            <w:tcW w:type="dxa" w:w="3216"/>
          </w:tcPr>
          <w:p>
            <w:r/>
            <w:r>
              <w:t>d</w:t>
            </w:r>
          </w:p>
        </w:tc>
        <w:tc>
          <w:tcPr>
            <w:tcW w:type="dxa" w:w="3216"/>
          </w:tcPr>
          <w:p>
            <w:r/>
            <w:r>
              <w:t>Prevenir y resolver incidentes</w:t>
            </w:r>
          </w:p>
        </w:tc>
        <w:tc>
          <w:tcPr>
            <w:tcW w:type="dxa" w:w="3216"/>
          </w:tcPr>
          <w:p>
            <w:r/>
            <w:r>
              <w:t>RS-01 (respuesta), DE-01/DE-02 (detección)</w:t>
            </w:r>
          </w:p>
        </w:tc>
      </w:tr>
      <w:tr>
        <w:tc>
          <w:tcPr>
            <w:tcW w:type="dxa" w:w="3216"/>
          </w:tcPr>
          <w:p>
            <w:r/>
            <w:r>
              <w:t>e</w:t>
            </w:r>
          </w:p>
        </w:tc>
        <w:tc>
          <w:tcPr>
            <w:tcW w:type="dxa" w:w="3216"/>
          </w:tcPr>
          <w:p>
            <w:r/>
            <w:r>
              <w:t>Contar con plan de mitigación y recuperación</w:t>
            </w:r>
          </w:p>
        </w:tc>
        <w:tc>
          <w:tcPr>
            <w:tcW w:type="dxa" w:w="3216"/>
          </w:tcPr>
          <w:p>
            <w:r/>
            <w:r>
              <w:t>RC-01 (BCP), RC-02 (DRP), BCU-06</w:t>
            </w:r>
          </w:p>
        </w:tc>
      </w:tr>
      <w:tr>
        <w:tc>
          <w:tcPr>
            <w:tcW w:type="dxa" w:w="3216"/>
          </w:tcPr>
          <w:p>
            <w:r/>
            <w:r>
              <w:t>f</w:t>
            </w:r>
          </w:p>
        </w:tc>
        <w:tc>
          <w:tcPr>
            <w:tcW w:type="dxa" w:w="3216"/>
          </w:tcPr>
          <w:p>
            <w:r/>
            <w:r>
              <w:t>Realizar auditorías según el Marco de Ciberseguridad</w:t>
            </w:r>
          </w:p>
        </w:tc>
        <w:tc>
          <w:tcPr>
            <w:tcW w:type="dxa" w:w="3216"/>
          </w:tcPr>
          <w:p>
            <w:r/>
            <w:r>
              <w:t>ID-05 (perfil), BCU-05 (auditoría)</w:t>
            </w:r>
          </w:p>
        </w:tc>
      </w:tr>
      <w:tr>
        <w:tc>
          <w:tcPr>
            <w:tcW w:type="dxa" w:w="3216"/>
          </w:tcPr>
          <w:p>
            <w:r/>
            <w:r>
              <w:t>g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Notificar los incidentes al CERTuy</w:t>
            </w:r>
            <w:r>
              <w:t xml:space="preserve"> conforme al procedimiento establecido</w:t>
            </w:r>
          </w:p>
        </w:tc>
        <w:tc>
          <w:tcPr>
            <w:tcW w:type="dxa" w:w="3216"/>
          </w:tcPr>
          <w:p>
            <w:r/>
            <w:r>
              <w:t>RS-02 (notificación)</w:t>
            </w:r>
          </w:p>
        </w:tc>
      </w:tr>
    </w:tbl>
    <w:p>
      <w:pPr>
        <w:ind w:left="432"/>
      </w:pPr>
      <w:r>
        <w:rPr>
          <w:i/>
          <w:color w:val="606060"/>
        </w:rPr>
        <w:t>**El dato que más te afecta (art. 10.g):** la notificación de incidentes al CERTuy es obligatoria y con plazos. La práctica y las guías nacionales apuntan a **notificación temprana** (dentro de las 24 horas de detectado el incidente). El RSI debe tener el procedimiento RS-02 actualizado con los contactos del CERTuy y el RENIC.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Prevención y trazabilidad (art. 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Literal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Obligación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Cómo se demuestra</w:t>
            </w:r>
          </w:p>
        </w:tc>
      </w:tr>
      <w:tr>
        <w:tc>
          <w:tcPr>
            <w:tcW w:type="dxa" w:w="3216"/>
          </w:tcPr>
          <w:p>
            <w:r/>
            <w:r>
              <w:t>a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Mantener trazabilidad centralizada de los eventos de seguridad por al menos 12 meses</w:t>
            </w:r>
          </w:p>
        </w:tc>
        <w:tc>
          <w:tcPr>
            <w:tcW w:type="dxa" w:w="3216"/>
          </w:tcPr>
          <w:p>
            <w:r/>
            <w:r>
              <w:t>DE-01 (monitoreo), INFRA-12 (SIEM y retención de logs)</w:t>
            </w:r>
          </w:p>
        </w:tc>
      </w:tr>
      <w:tr>
        <w:tc>
          <w:tcPr>
            <w:tcW w:type="dxa" w:w="3216"/>
          </w:tcPr>
          <w:p>
            <w:r/>
            <w:r>
              <w:t>b</w:t>
            </w:r>
          </w:p>
        </w:tc>
        <w:tc>
          <w:tcPr>
            <w:tcW w:type="dxa" w:w="3216"/>
          </w:tcPr>
          <w:p>
            <w:r/>
            <w:r>
              <w:t>Proveer la información de sistemas que el CERTuy requiera</w:t>
            </w:r>
          </w:p>
        </w:tc>
        <w:tc>
          <w:tcPr>
            <w:tcW w:type="dxa" w:w="3216"/>
          </w:tcPr>
          <w:p>
            <w:r/>
            <w:r>
              <w:t>INFRA-13 (fichas de infraestructura)</w:t>
            </w:r>
          </w:p>
        </w:tc>
      </w:tr>
      <w:tr>
        <w:tc>
          <w:tcPr>
            <w:tcW w:type="dxa" w:w="3216"/>
          </w:tcPr>
          <w:p>
            <w:r/>
            <w:r>
              <w:t>c</w:t>
            </w:r>
          </w:p>
        </w:tc>
        <w:tc>
          <w:tcPr>
            <w:tcW w:type="dxa" w:w="3216"/>
          </w:tcPr>
          <w:p>
            <w:r/>
            <w:r>
              <w:t>Informar cambios sustanciales en los sistemas</w:t>
            </w:r>
          </w:p>
        </w:tc>
        <w:tc>
          <w:tcPr>
            <w:tcW w:type="dxa" w:w="3216"/>
          </w:tcPr>
          <w:p>
            <w:r/>
            <w:r>
              <w:t>GV-06 (informe a Dirección), control de cambios</w:t>
            </w:r>
          </w:p>
        </w:tc>
      </w:tr>
    </w:tbl>
    <w:p>
      <w:pPr>
        <w:ind w:left="432"/>
      </w:pPr>
      <w:r>
        <w:rPr>
          <w:i/>
          <w:color w:val="606060"/>
        </w:rPr>
        <w:t>**El dato que más te afecta (art. 11.a):** los registros de seguridad deben conservarse **al menos 12 meses**. Si el banco no conserva logs de ese período, ya está incumpliendo el decreto. El SIEM del INFRA-12 es la herramienta que hace esto posible y auditable.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Gestión de incidentes (arts. 12–13)</w:t>
      </w:r>
    </w:p>
    <w:p>
      <w:pPr>
        <w:pStyle w:val="ListBullet"/>
      </w:pPr>
      <w:r>
        <w:rPr>
          <w:b/>
        </w:rPr>
        <w:t>Art. 12:</w:t>
      </w:r>
      <w:r>
        <w:t xml:space="preserve"> la entidad debe informar de inmediato los incidentes potenciales al CERTuy, brindar la información que este requiera y reparar las consecuencias.</w:t>
      </w:r>
    </w:p>
    <w:p>
      <w:pPr>
        <w:pStyle w:val="ListBullet"/>
      </w:pPr>
      <w:r>
        <w:rPr>
          <w:b/>
        </w:rPr>
        <w:t>Art. 13:</w:t>
      </w:r>
      <w:r>
        <w:t xml:space="preserve"> si el Banco tuviera SOC/CSIRT propio, este debe reportar al CERTuy, participar en la taxonomía nacional de incidentes y mantener mecanismos de escalamiento.</w:t>
      </w:r>
    </w:p>
    <w:p>
      <w:pPr>
        <w:ind w:left="432"/>
      </w:pPr>
      <w:r>
        <w:rPr>
          <w:i/>
          <w:color w:val="606060"/>
        </w:rPr>
        <w:t>**Regla práctica:** el RSI debe saber de memoria el flujo de notificación: **detección (DE) → triage → notificación al CERTuy (RS-02) → contención → reporte final**. Ese flujo se prueba con simulaciones al menos una vez al año (DE-03).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Adoptar el MCU y cumplir el perfil asignado (arts. 14–15)</w:t>
      </w:r>
    </w:p>
    <w:p>
      <w:pPr>
        <w:pStyle w:val="ListBullet"/>
      </w:pPr>
      <w:r>
        <w:rPr>
          <w:b/>
        </w:rPr>
        <w:t>Art. 14:</w:t>
      </w:r>
      <w:r>
        <w:t xml:space="preserve"> las entidades deben </w:t>
      </w:r>
      <w:r>
        <w:rPr>
          <w:b/>
        </w:rPr>
        <w:t>adoptar el Marco de Ciberseguridad (MCU)</w:t>
      </w:r>
      <w:r>
        <w:t xml:space="preserve"> y cumplir el </w:t>
      </w:r>
      <w:r>
        <w:rPr>
          <w:b/>
        </w:rPr>
        <w:t>nivel de madurez mínimo</w:t>
      </w:r>
      <w:r>
        <w:t xml:space="preserve"> del perfil que se les asigne.</w:t>
      </w:r>
    </w:p>
    <w:p>
      <w:pPr>
        <w:pStyle w:val="ListBullet"/>
      </w:pPr>
      <w:r>
        <w:rPr>
          <w:b/>
        </w:rPr>
        <w:t>Art. 15:</w:t>
      </w:r>
      <w:r>
        <w:t xml:space="preserve"> los perfiles (básico, estándar, avanzado) y los plazos de implementación son asignados por Agesic. La asignación de perfiles y plazos debía realizarse dentro de los 60 días siguientes a la publicación del decreto.</w:t>
      </w:r>
    </w:p>
    <w:p>
      <w:pPr>
        <w:ind w:left="432"/>
      </w:pPr>
      <w:r>
        <w:rPr>
          <w:i/>
          <w:color w:val="606060"/>
        </w:rPr>
        <w:t>**Qué significa en la práctica:** el Banco debe conocer su **perfil de ciberseguridad** (ID-05 del kit), medir su madurez en las 6 funciones del MCU 5.0 y llegar al nivel mínimo del perfil asignado dentro del plazo. Esto convierte al MCU de "buena práctica" en **obligación con plazo**.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Auditorías y rendición de cuentas (arts. 16–17)</w:t>
      </w:r>
    </w:p>
    <w:p>
      <w:pPr>
        <w:pStyle w:val="ListBullet"/>
      </w:pPr>
      <w:r>
        <w:rPr>
          <w:b/>
        </w:rPr>
        <w:t>Art. 16:</w:t>
      </w:r>
      <w:r>
        <w:t xml:space="preserve"> las auditorías de ciberseguridad se realizan según los lineamientos del MCU.</w:t>
      </w:r>
    </w:p>
    <w:p>
      <w:pPr>
        <w:pStyle w:val="ListBullet"/>
      </w:pPr>
      <w:r>
        <w:rPr>
          <w:b/>
        </w:rPr>
        <w:t>Art. 17:</w:t>
      </w:r>
      <w:r>
        <w:t xml:space="preserve"> dentro de los </w:t>
      </w:r>
      <w:r>
        <w:rPr>
          <w:b/>
        </w:rPr>
        <w:t>30 días</w:t>
      </w:r>
      <w:r>
        <w:t xml:space="preserve"> de concluida la auditoría, la entidad debe remitir a Agesic un </w:t>
      </w:r>
      <w:r>
        <w:rPr>
          <w:b/>
        </w:rPr>
        <w:t>resumen ejecutivo</w:t>
      </w:r>
      <w:r>
        <w:t xml:space="preserve">; si hay mejoras a realizar, presenta un </w:t>
      </w:r>
      <w:r>
        <w:rPr>
          <w:b/>
        </w:rPr>
        <w:t>plan de acción dentro de los 60 días</w:t>
      </w:r>
      <w:r>
        <w:t>.</w:t>
      </w:r>
    </w:p>
    <w:p>
      <w:pPr>
        <w:ind w:left="432"/>
      </w:pPr>
      <w:r>
        <w:rPr>
          <w:i/>
          <w:color w:val="606060"/>
        </w:rPr>
        <w:t>**El dato que más te afecta (arts. 16–17):** la auditoría no termina en el informe interno. Hay un **resumen ejecutivo a Agesic en 30 días** y, si corresponde, un **plan de acción en 60 días**. El kit te da la evidencia (BCU-05, ID-05, GV-06) y este curso te enseña a generarla.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Terceros, compras y sanciones (arts. 18–21)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Artículo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Obligación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Repercusión en el kit</w:t>
            </w:r>
          </w:p>
        </w:tc>
      </w:tr>
      <w:tr>
        <w:tc>
          <w:tcPr>
            <w:tcW w:type="dxa" w:w="3216"/>
          </w:tcPr>
          <w:p>
            <w:r/>
            <w:r>
              <w:t>18</w:t>
            </w:r>
          </w:p>
        </w:tc>
        <w:tc>
          <w:tcPr>
            <w:tcW w:type="dxa" w:w="3216"/>
          </w:tcPr>
          <w:p>
            <w:r/>
            <w:r>
              <w:t>Los servicios de terceros deben cumplir el MCU</w:t>
            </w:r>
          </w:p>
        </w:tc>
        <w:tc>
          <w:tcPr>
            <w:tcW w:type="dxa" w:w="3216"/>
          </w:tcPr>
          <w:p>
            <w:r/>
            <w:r>
              <w:t>GV-05 (cadena de suministro), PR-08 (confidencialidad con terceros)</w:t>
            </w:r>
          </w:p>
        </w:tc>
      </w:tr>
      <w:tr>
        <w:tc>
          <w:tcPr>
            <w:tcW w:type="dxa" w:w="3216"/>
          </w:tcPr>
          <w:p>
            <w:r/>
            <w:r>
              <w:t>20</w:t>
            </w:r>
          </w:p>
        </w:tc>
        <w:tc>
          <w:tcPr>
            <w:tcW w:type="dxa" w:w="3216"/>
          </w:tcPr>
          <w:p>
            <w:r/>
            <w:r>
              <w:t>Los procesos de compras públicas deben incluir requisitos de seguridad</w:t>
            </w:r>
          </w:p>
        </w:tc>
        <w:tc>
          <w:tcPr>
            <w:tcW w:type="dxa" w:w="3216"/>
          </w:tcPr>
          <w:p>
            <w:r/>
            <w:r>
              <w:t>Cláusulas de seguridad en contratos (GV-05)</w:t>
            </w:r>
          </w:p>
        </w:tc>
      </w:tr>
      <w:tr>
        <w:tc>
          <w:tcPr>
            <w:tcW w:type="dxa" w:w="3216"/>
          </w:tcPr>
          <w:p>
            <w:r/>
            <w:r>
              <w:t>21</w:t>
            </w:r>
          </w:p>
        </w:tc>
        <w:tc>
          <w:tcPr>
            <w:tcW w:type="dxa" w:w="3216"/>
          </w:tcPr>
          <w:p>
            <w:r/>
            <w:r>
              <w:t xml:space="preserve">Apercibimiento a entidades incumplidoras y comunicación </w:t>
            </w:r>
            <w:r>
              <w:rPr>
                <w:b/>
              </w:rPr>
              <w:t>semestral a la Asamblea General</w:t>
            </w:r>
          </w:p>
        </w:tc>
        <w:tc>
          <w:tcPr>
            <w:tcW w:type="dxa" w:w="3216"/>
          </w:tcPr>
          <w:p>
            <w:r/>
            <w:r>
              <w:t>La rendición de cuentas puede llegar a la Asamblea General; el RSI debe dejar rastro de cumplimiento</w:t>
            </w:r>
          </w:p>
        </w:tc>
      </w:tr>
    </w:tbl>
    <w:p>
      <w:pPr>
        <w:ind w:left="432"/>
      </w:pPr>
      <w:r>
        <w:rPr>
          <w:i/>
          <w:color w:val="606060"/>
        </w:rPr>
        <w:t>**Además (Decreto 168/026, julio 2026):** se introdujo el **art. 20-BIS**, que refuerza la responsabilidad y las medidas especiales para entidades públicas en materia de procedimiento administrativo (Decretos 222/014 y 500/991) y ajustes que deben informarse a Agesic. Verificá la versión vigente del texto antes de citar el decreto en documentos formales.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Plan de acción del Banco ante el Decreto 66/025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Plazo sugerido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Documento del kit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Confirmar el RSI designado y su equipo</w:t>
            </w:r>
          </w:p>
        </w:tc>
        <w:tc>
          <w:tcPr>
            <w:tcW w:type="dxa" w:w="2412"/>
          </w:tcPr>
          <w:p>
            <w:r/>
            <w:r>
              <w:t>Inmediato</w:t>
            </w:r>
          </w:p>
        </w:tc>
        <w:tc>
          <w:tcPr>
            <w:tcW w:type="dxa" w:w="2412"/>
          </w:tcPr>
          <w:p>
            <w:r/>
            <w:r>
              <w:t>GV-03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Verificar el perfil asignado por Agesic y el nivel de madurez actual</w:t>
            </w:r>
          </w:p>
        </w:tc>
        <w:tc>
          <w:tcPr>
            <w:tcW w:type="dxa" w:w="2412"/>
          </w:tcPr>
          <w:p>
            <w:r/>
            <w:r>
              <w:t>30 días</w:t>
            </w:r>
          </w:p>
        </w:tc>
        <w:tc>
          <w:tcPr>
            <w:tcW w:type="dxa" w:w="2412"/>
          </w:tcPr>
          <w:p>
            <w:r/>
            <w:r>
              <w:t>ID-05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t>Confirmar retención de logs ≥12 meses o planificarla</w:t>
            </w:r>
          </w:p>
        </w:tc>
        <w:tc>
          <w:tcPr>
            <w:tcW w:type="dxa" w:w="2412"/>
          </w:tcPr>
          <w:p>
            <w:r/>
            <w:r>
              <w:t>60 días</w:t>
            </w:r>
          </w:p>
        </w:tc>
        <w:tc>
          <w:tcPr>
            <w:tcW w:type="dxa" w:w="2412"/>
          </w:tcPr>
          <w:p>
            <w:r/>
            <w:r>
              <w:t>DE-01, INFRA-12</w:t>
            </w:r>
          </w:p>
        </w:tc>
      </w:tr>
      <w:tr>
        <w:tc>
          <w:tcPr>
            <w:tcW w:type="dxa" w:w="2412"/>
          </w:tcPr>
          <w:p>
            <w:r/>
            <w:r>
              <w:t>4</w:t>
            </w:r>
          </w:p>
        </w:tc>
        <w:tc>
          <w:tcPr>
            <w:tcW w:type="dxa" w:w="2412"/>
          </w:tcPr>
          <w:p>
            <w:r/>
            <w:r>
              <w:t>Actualizar el procedimiento de notificación al CERTuy/RENIC</w:t>
            </w:r>
          </w:p>
        </w:tc>
        <w:tc>
          <w:tcPr>
            <w:tcW w:type="dxa" w:w="2412"/>
          </w:tcPr>
          <w:p>
            <w:r/>
            <w:r>
              <w:t>60 días</w:t>
            </w:r>
          </w:p>
        </w:tc>
        <w:tc>
          <w:tcPr>
            <w:tcW w:type="dxa" w:w="2412"/>
          </w:tcPr>
          <w:p>
            <w:r/>
            <w:r>
              <w:t>RS-02</w:t>
            </w:r>
          </w:p>
        </w:tc>
      </w:tr>
      <w:tr>
        <w:tc>
          <w:tcPr>
            <w:tcW w:type="dxa" w:w="2412"/>
          </w:tcPr>
          <w:p>
            <w:r/>
            <w:r>
              <w:t>5</w:t>
            </w:r>
          </w:p>
        </w:tc>
        <w:tc>
          <w:tcPr>
            <w:tcW w:type="dxa" w:w="2412"/>
          </w:tcPr>
          <w:p>
            <w:r/>
            <w:r>
              <w:t>Verificar cláusulas de seguridad con terceros</w:t>
            </w:r>
          </w:p>
        </w:tc>
        <w:tc>
          <w:tcPr>
            <w:tcW w:type="dxa" w:w="2412"/>
          </w:tcPr>
          <w:p>
            <w:r/>
            <w:r>
              <w:t>90 días</w:t>
            </w:r>
          </w:p>
        </w:tc>
        <w:tc>
          <w:tcPr>
            <w:tcW w:type="dxa" w:w="2412"/>
          </w:tcPr>
          <w:p>
            <w:r/>
            <w:r>
              <w:t>GV-05, PR-08</w:t>
            </w:r>
          </w:p>
        </w:tc>
      </w:tr>
      <w:tr>
        <w:tc>
          <w:tcPr>
            <w:tcW w:type="dxa" w:w="2412"/>
          </w:tcPr>
          <w:p>
            <w:r/>
            <w:r>
              <w:t>6</w:t>
            </w:r>
          </w:p>
        </w:tc>
        <w:tc>
          <w:tcPr>
            <w:tcW w:type="dxa" w:w="2412"/>
          </w:tcPr>
          <w:p>
            <w:r/>
            <w:r>
              <w:t>Programar auditoría según MCU y preparar resumen ejecutivo (30 días) y plan de acción (60 días)</w:t>
            </w:r>
          </w:p>
        </w:tc>
        <w:tc>
          <w:tcPr>
            <w:tcW w:type="dxa" w:w="2412"/>
          </w:tcPr>
          <w:p>
            <w:r/>
            <w:r>
              <w:t>120 días</w:t>
            </w:r>
          </w:p>
        </w:tc>
        <w:tc>
          <w:tcPr>
            <w:tcW w:type="dxa" w:w="2412"/>
          </w:tcPr>
          <w:p>
            <w:r/>
            <w:r>
              <w:t>BCU-05, ID-05</w:t>
            </w:r>
          </w:p>
        </w:tc>
      </w:tr>
      <w:tr>
        <w:tc>
          <w:tcPr>
            <w:tcW w:type="dxa" w:w="2412"/>
          </w:tcPr>
          <w:p>
            <w:r/>
            <w:r>
              <w:t>7</w:t>
            </w:r>
          </w:p>
        </w:tc>
        <w:tc>
          <w:tcPr>
            <w:tcW w:type="dxa" w:w="2412"/>
          </w:tcPr>
          <w:p>
            <w:r/>
            <w:r>
              <w:t>Actualizar la matriz de correspondencia normativa con el decreto</w:t>
            </w:r>
          </w:p>
        </w:tc>
        <w:tc>
          <w:tcPr>
            <w:tcW w:type="dxa" w:w="2412"/>
          </w:tcPr>
          <w:p>
            <w:r/>
            <w:r>
              <w:t>30 días</w:t>
            </w:r>
          </w:p>
        </w:tc>
        <w:tc>
          <w:tcPr>
            <w:tcW w:type="dxa" w:w="2412"/>
          </w:tcPr>
          <w:p>
            <w:r/>
            <w:r>
              <w:t>MATRIZ-001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10. Relación con las demás normas (el mapa completo)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aporta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Dónde se cruza con el decreto</w:t>
            </w:r>
          </w:p>
        </w:tc>
      </w:tr>
      <w:tr>
        <w:tc>
          <w:tcPr>
            <w:tcW w:type="dxa" w:w="3216"/>
          </w:tcPr>
          <w:p>
            <w:r/>
            <w:r>
              <w:t>MCU 5.0 (Agesic)</w:t>
            </w:r>
          </w:p>
        </w:tc>
        <w:tc>
          <w:tcPr>
            <w:tcW w:type="dxa" w:w="3216"/>
          </w:tcPr>
          <w:p>
            <w:r/>
            <w:r>
              <w:t>Estructura de funciones y requisitos</w:t>
            </w:r>
          </w:p>
        </w:tc>
        <w:tc>
          <w:tcPr>
            <w:tcW w:type="dxa" w:w="3216"/>
          </w:tcPr>
          <w:p>
            <w:r/>
            <w:r>
              <w:t>Art. 14 (adoptar el MCU y el perfil)</w:t>
            </w:r>
          </w:p>
        </w:tc>
      </w:tr>
      <w:tr>
        <w:tc>
          <w:tcPr>
            <w:tcW w:type="dxa" w:w="3216"/>
          </w:tcPr>
          <w:p>
            <w:r/>
            <w:r>
              <w:t>Ley 20.212</w:t>
            </w:r>
          </w:p>
        </w:tc>
        <w:tc>
          <w:tcPr>
            <w:tcW w:type="dxa" w:w="3216"/>
          </w:tcPr>
          <w:p>
            <w:r/>
            <w:r>
              <w:t>Régimen nacional, RENIC</w:t>
            </w:r>
          </w:p>
        </w:tc>
        <w:tc>
          <w:tcPr>
            <w:tcW w:type="dxa" w:w="3216"/>
          </w:tcPr>
          <w:p>
            <w:r/>
            <w:r>
              <w:t>Arts. 78–84 reglamentados por el decreto</w:t>
            </w:r>
          </w:p>
        </w:tc>
      </w:tr>
      <w:tr>
        <w:tc>
          <w:tcPr>
            <w:tcW w:type="dxa" w:w="3216"/>
          </w:tcPr>
          <w:p>
            <w:r/>
            <w:r>
              <w:t>BCU EMG / RNRCSF art. 492</w:t>
            </w:r>
          </w:p>
        </w:tc>
        <w:tc>
          <w:tcPr>
            <w:tcW w:type="dxa" w:w="3216"/>
          </w:tcPr>
          <w:p>
            <w:r/>
            <w:r>
              <w:t>Gobierno, riesgo tecnológico, continuidad</w:t>
            </w:r>
          </w:p>
        </w:tc>
        <w:tc>
          <w:tcPr>
            <w:tcW w:type="dxa" w:w="3216"/>
          </w:tcPr>
          <w:p>
            <w:r/>
            <w:r>
              <w:t>La supervisión financiera exige lo mismo que el decreto, desde otro ángulo</w:t>
            </w:r>
          </w:p>
        </w:tc>
      </w:tr>
      <w:tr>
        <w:tc>
          <w:tcPr>
            <w:tcW w:type="dxa" w:w="3216"/>
          </w:tcPr>
          <w:p>
            <w:r/>
            <w:r>
              <w:t>URCDP (Ley 18.331, 19.670, Decreto 64/020)</w:t>
            </w:r>
          </w:p>
        </w:tc>
        <w:tc>
          <w:tcPr>
            <w:tcW w:type="dxa" w:w="3216"/>
          </w:tcPr>
          <w:p>
            <w:r/>
            <w:r>
              <w:t>Datos personales, vulneraciones</w:t>
            </w:r>
          </w:p>
        </w:tc>
        <w:tc>
          <w:tcPr>
            <w:tcW w:type="dxa" w:w="3216"/>
          </w:tcPr>
          <w:p>
            <w:r/>
            <w:r>
              <w:t>Las notificaciones conviven: incidente = aviso a CERTuy + URCDP según corresponda</w:t>
            </w:r>
          </w:p>
        </w:tc>
      </w:tr>
      <w:tr>
        <w:tc>
          <w:tcPr>
            <w:tcW w:type="dxa" w:w="3216"/>
          </w:tcPr>
          <w:p>
            <w:r/>
            <w:r>
              <w:t>ISO/IEC 27001</w:t>
            </w:r>
          </w:p>
        </w:tc>
        <w:tc>
          <w:tcPr>
            <w:tcW w:type="dxa" w:w="3216"/>
          </w:tcPr>
          <w:p>
            <w:r/>
            <w:r>
              <w:t>SGSI y controles</w:t>
            </w:r>
          </w:p>
        </w:tc>
        <w:tc>
          <w:tcPr>
            <w:tcW w:type="dxa" w:w="3216"/>
          </w:tcPr>
          <w:p>
            <w:r/>
            <w:r>
              <w:t>La cláusula 6.1.3 exige cumplir requisitos legales: el decreto es uno de ellos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11. Checklist del RSI ante el Decreto 66/025</w:t>
      </w:r>
    </w:p>
    <w:p>
      <w:pPr>
        <w:pStyle w:val="ListBullet"/>
      </w:pPr>
      <w:r>
        <w:t>☐ Confirmé que el Banco está comprendido (art. 2) y por qué (entidad pública + sector financiero).</w:t>
      </w:r>
    </w:p>
    <w:p>
      <w:pPr>
        <w:pStyle w:val="ListBullet"/>
      </w:pPr>
      <w:r>
        <w:t>☐ El RSI está designado por escrito (art. 10.c) → GV-03.</w:t>
      </w:r>
    </w:p>
    <w:p>
      <w:pPr>
        <w:pStyle w:val="ListBullet"/>
      </w:pPr>
      <w:r>
        <w:t>☐ Conozco el procedimiento de notificación al CERTuy y el RENIC (art. 10.g) → RS-02.</w:t>
      </w:r>
    </w:p>
    <w:p>
      <w:pPr>
        <w:pStyle w:val="ListBullet"/>
      </w:pPr>
      <w:r>
        <w:t>☐ Verifiqué la retención de logs ≥12 meses (art. 11.a) → DE-01, INFRA-12.</w:t>
      </w:r>
    </w:p>
    <w:p>
      <w:pPr>
        <w:pStyle w:val="ListBullet"/>
      </w:pPr>
      <w:r>
        <w:t>☐ Tengo el perfil de ciberseguridad asignado y medí la madurez (arts. 14–15) → ID-05.</w:t>
      </w:r>
    </w:p>
    <w:p>
      <w:pPr>
        <w:pStyle w:val="ListBullet"/>
      </w:pPr>
      <w:r>
        <w:t>☐ La auditoría sigue los lineamientos del MCU y sé los plazos de 30/60 días (arts. 16–17).</w:t>
      </w:r>
    </w:p>
    <w:p>
      <w:pPr>
        <w:pStyle w:val="ListBullet"/>
      </w:pPr>
      <w:r>
        <w:t>☐ Los contratos con terceros incluyen cumplimiento del MCU (art. 18) → GV-05.</w:t>
      </w:r>
    </w:p>
    <w:p>
      <w:pPr>
        <w:pStyle w:val="ListBullet"/>
      </w:pPr>
      <w:r>
        <w:t>☐ La matriz de correspondencia normativa incluye el decreto → MATRIZ-001.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12. Cierre del módulo</w:t>
      </w:r>
    </w:p>
    <w:p>
      <w:r>
        <w:t xml:space="preserve">El Decreto 66/025 convierte la ciberseguridad del Banco en </w:t>
      </w:r>
      <w:r>
        <w:rPr>
          <w:b/>
        </w:rPr>
        <w:t>obligación formal con plazos y rendición de cuentas</w:t>
      </w:r>
      <w:r>
        <w:t>: RSI designado, MCU adoptado con perfil de madurez, notificación al CERTuy, logs de 12 meses y auditorías que se reportan a Agesic. Este módulo cierra el curso de infraestructura: ya sabés cómo se arma la red (INFRA-01 a 06), cómo se audita (INFRA-07), qué se observa (INFRA-12), qué se pregunta (INFRA-13) y ahora, qué exige la norma con fuerza de decreto.</w:t>
      </w:r>
    </w:p>
    <w:p>
      <w:pPr>
        <w:pStyle w:val="Heading3"/>
      </w:pPr>
      <w:r>
        <w:rPr>
          <w:color w:val="1F3B63"/>
        </w:rPr>
        <w:t>Checklist del módulo</w:t>
      </w:r>
    </w:p>
    <w:p>
      <w:pPr>
        <w:pStyle w:val="ListBullet"/>
      </w:pPr>
      <w:r>
        <w:t>☐ Leí el decreto completo (texto vigente en IMPO) y este resumen.</w:t>
      </w:r>
    </w:p>
    <w:p>
      <w:pPr>
        <w:pStyle w:val="ListBullet"/>
      </w:pPr>
      <w:r>
        <w:t>☐ Identifiqué las obligaciones que ya se cumplen y las que faltan.</w:t>
      </w:r>
    </w:p>
    <w:p>
      <w:pPr>
        <w:pStyle w:val="ListBullet"/>
      </w:pPr>
      <w:r>
        <w:t>☐ Cargué las obligaciones en la matriz de correspondencia (MATRIZ-001).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GV-03, GV-05, GV-06, ID-05, DE-01, DE-02, RS-02, BCU-05, URCDP-02, MATRIZ-001 · Referencias internas: INFRA-12, INFRA-13 · Referencias externas: Decreto 66/025 (IMPO), Ley 20.212 arts. 78–84, Decreto 168/026 (art. 20-BIS), Marco de Ciberseguridad 5.0 (Agesic)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