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VPOL-00 · Índice y Mapa del Curso</w:t>
      </w:r>
    </w:p>
    <w:p>
      <w:pPr>
        <w:ind w:left="432"/>
      </w:pPr>
      <w:r>
        <w:rPr>
          <w:i/>
          <w:color w:val="606060"/>
        </w:rPr>
        <w:t>**Función del MCU 5.0:** Este curso ejecuta en la práctica las funciones GV (Gobernar) y PR (Proteger) del Marco de Ciberseguridad de Agesic 5.0: sin políticas claras, procesos definidos y controles verificables no hay SGSI auditable.</w:t>
      </w:r>
    </w:p>
    <w:p>
      <w:pPr>
        <w:ind w:left="432"/>
      </w:pPr>
      <w:r>
        <w:rPr>
          <w:i/>
          <w:color w:val="606060"/>
        </w:rPr>
        <w:t>**ISO/IEC 27001:** Cada política se vincula a controles del Anexo A (A.5 políticas, A.6 organización, A.8 gestión de activos, A.12 seguridad de operaciones, A.13 seguridad de comunicaciones, A.15 relaciones con proveedores, A.16 gestión de incidentes, A.18 cumplimiento).</w:t>
      </w:r>
    </w:p>
    <w:p>
      <w:pPr>
        <w:ind w:left="432"/>
      </w:pPr>
      <w:r>
        <w:rPr>
          <w:i/>
          <w:color w:val="606060"/>
        </w:rPr>
        <w:t>**BCU:** Las políticas y procesos del kit demuestran los Estándares Mínimos de Gestión (EMG) y el RNRCSF: gobierno, gestión de riesgos y continuidad.</w:t>
      </w:r>
    </w:p>
    <w:p>
      <w:pPr>
        <w:ind w:left="432"/>
      </w:pPr>
      <w:r>
        <w:rPr>
          <w:i/>
          <w:color w:val="606060"/>
        </w:rPr>
        <w:t>**URCDP:** La redacción de políticas debe contemplar la Ley 18.331 (datos personales) y el régimen de vulneraciones de seguridad.</w:t>
      </w:r>
    </w:p>
    <w:p>
      <w:pPr>
        <w:ind w:left="432"/>
      </w:pPr>
      <w:r>
        <w:rPr>
          <w:i/>
          <w:color w:val="606060"/>
        </w:rPr>
        <w:t>**Nivel del curso:** 🟢 Descubrir → 🟡 Practicar →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Presentación del curso</w:t>
      </w:r>
    </w:p>
    <w:p>
      <w:r>
        <w:t xml:space="preserve">Bienvenido al curso </w:t>
      </w:r>
      <w:r>
        <w:rPr>
          <w:b/>
        </w:rPr>
        <w:t>"Gestión de vulnerabilidades y redacción de políticas, procesos y controles de seguridad"</w:t>
      </w:r>
      <w:r>
        <w:t xml:space="preserve">. Vive en la carpeta </w:t>
      </w:r>
      <w:r>
        <w:rPr>
          <w:rFonts w:ascii="Consolas" w:hAnsi="Consolas"/>
          <w:sz w:val="20"/>
        </w:rPr>
        <w:t>curso-politicas-vulnerabilidades</w:t>
      </w:r>
      <w:r>
        <w:t xml:space="preserve"> y forma parte del kit </w:t>
      </w:r>
      <w:r>
        <w:rPr>
          <w:b/>
        </w:rPr>
        <w:t>Banco-Inicia</w:t>
      </w:r>
      <w:r>
        <w:t>.</w:t>
      </w:r>
    </w:p>
    <w:p>
      <w:r>
        <w:t>Este curso tiene dos mitades que se complementan:</w:t>
      </w:r>
    </w:p>
    <w:p>
      <w:pPr>
        <w:pStyle w:val="ListNumber"/>
      </w:pPr>
      <w:r>
        <w:rPr>
          <w:b/>
        </w:rPr>
        <w:t>Gestión de vulnerabilidades (enfoque Uruguay):</w:t>
      </w:r>
      <w:r>
        <w:t xml:space="preserve"> qué es una vulnerabilidad, cómo se descubre, prioriza y corrige, qué exigen Agesic, el BCU y la URCDP, y cómo se demuestra el cumplimiento con evidencia.</w:t>
      </w:r>
    </w:p>
    <w:p>
      <w:pPr>
        <w:pStyle w:val="ListNumber"/>
      </w:pPr>
      <w:r>
        <w:rPr>
          <w:b/>
        </w:rPr>
        <w:t>Redacción de documentos de seguridad:</w:t>
      </w:r>
      <w:r>
        <w:t xml:space="preserve"> cómo se escribe una política, un proceso y un control de forma clara, accionable y auditable, usando como base las </w:t>
      </w:r>
      <w:r>
        <w:rPr>
          <w:b/>
        </w:rPr>
        <w:t>15 plantillas de políticas de ISACA</w:t>
      </w:r>
      <w:r>
        <w:t xml:space="preserve"> adaptadas al contexto uruguayo y al Marco de Ciberseguridad 5.0.</w:t>
      </w:r>
    </w:p>
    <w:p>
      <w:r>
        <w:t xml:space="preserve">La lógica es la misma que en todo el kit: </w:t>
      </w:r>
      <w:r>
        <w:rPr>
          <w:b/>
        </w:rPr>
        <w:t>aprendé el concepto → abrí la plantilla → completala con el caso Banco → guardala en la estructura del SGSI → seguilda en la planificación</w:t>
      </w:r>
      <w:r>
        <w:t>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Para quién es este curso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Perfil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Por qué le sirve</w:t>
            </w:r>
          </w:p>
        </w:tc>
      </w:tr>
      <w:tr>
        <w:tc>
          <w:tcPr>
            <w:tcW w:type="dxa" w:w="4824"/>
          </w:tcPr>
          <w:p>
            <w:r/>
            <w:r>
              <w:t>Responsable de Seguridad de la Información (RSI)</w:t>
            </w:r>
          </w:p>
        </w:tc>
        <w:tc>
          <w:tcPr>
            <w:tcW w:type="dxa" w:w="4824"/>
          </w:tcPr>
          <w:p>
            <w:r/>
            <w:r>
              <w:t>Redacta, aprueba y supervisa políticas, procesos y controles; gestiona vulnerabilidades como parte de Proteger.</w:t>
            </w:r>
          </w:p>
        </w:tc>
      </w:tr>
      <w:tr>
        <w:tc>
          <w:tcPr>
            <w:tcW w:type="dxa" w:w="4824"/>
          </w:tcPr>
          <w:p>
            <w:r/>
            <w:r>
              <w:t>Delegado de Protección de Datos (DPD)</w:t>
            </w:r>
          </w:p>
        </w:tc>
        <w:tc>
          <w:tcPr>
            <w:tcW w:type="dxa" w:w="4824"/>
          </w:tcPr>
          <w:p>
            <w:r/>
            <w:r>
              <w:t>Necesita políticas que contemplen datos personales (URCDP-01, notificación de vulneraciones).</w:t>
            </w:r>
          </w:p>
        </w:tc>
      </w:tr>
      <w:tr>
        <w:tc>
          <w:tcPr>
            <w:tcW w:type="dxa" w:w="4824"/>
          </w:tcPr>
          <w:p>
            <w:r/>
            <w:r>
              <w:t>Oficial de Seguridad / TI</w:t>
            </w:r>
          </w:p>
        </w:tc>
        <w:tc>
          <w:tcPr>
            <w:tcW w:type="dxa" w:w="4824"/>
          </w:tcPr>
          <w:p>
            <w:r/>
            <w:r>
              <w:t>Ejecuta los procesos (parcheo, accesos, respaldos) y debe entender qué se espera de cada control.</w:t>
            </w:r>
          </w:p>
        </w:tc>
      </w:tr>
      <w:tr>
        <w:tc>
          <w:tcPr>
            <w:tcW w:type="dxa" w:w="4824"/>
          </w:tcPr>
          <w:p>
            <w:r/>
            <w:r>
              <w:t>Auditoría Interna</w:t>
            </w:r>
          </w:p>
        </w:tc>
        <w:tc>
          <w:tcPr>
            <w:tcW w:type="dxa" w:w="4824"/>
          </w:tcPr>
          <w:p>
            <w:r/>
            <w:r>
              <w:t>Evalúa si las políticas están escritas, son coherentes, se cumplen y se evidencian.</w:t>
            </w:r>
          </w:p>
        </w:tc>
      </w:tr>
      <w:tr>
        <w:tc>
          <w:tcPr>
            <w:tcW w:type="dxa" w:w="4824"/>
          </w:tcPr>
          <w:p>
            <w:r/>
            <w:r>
              <w:t>Consultores del proyecto SGSI</w:t>
            </w:r>
          </w:p>
        </w:tc>
        <w:tc>
          <w:tcPr>
            <w:tcW w:type="dxa" w:w="4824"/>
          </w:tcPr>
          <w:p>
            <w:r/>
            <w:r>
              <w:t>Tienen la base para redactar el "cuerpo normativo" del SGSI del Banco.</w:t>
            </w:r>
          </w:p>
        </w:tc>
      </w:tr>
    </w:tbl>
    <w:p>
      <w:pPr>
        <w:pStyle w:val="Heading3"/>
      </w:pPr>
      <w:r>
        <w:rPr>
          <w:color w:val="1F3B63"/>
        </w:rPr>
        <w:t>Qué vas a saber al terminar</w:t>
      </w:r>
    </w:p>
    <w:p>
      <w:pPr>
        <w:pStyle w:val="ListBullet"/>
      </w:pPr>
      <w:r>
        <w:t xml:space="preserve">Qué es una vulnerabilidad, qué es un CVE y un CVSS, y cómo se </w:t>
      </w:r>
      <w:r>
        <w:rPr>
          <w:b/>
        </w:rPr>
        <w:t>gestiona el ciclo completo</w:t>
      </w:r>
      <w:r>
        <w:t xml:space="preserve"> (identificar → evaluar → priorizar → corregir → verificar) con los plazos que espera Agesic.</w:t>
      </w:r>
    </w:p>
    <w:p>
      <w:pPr>
        <w:pStyle w:val="ListBullet"/>
      </w:pPr>
      <w:r>
        <w:t xml:space="preserve">Qué exige cada norma uruguaya (Agesic MCU 5.0, BCU EMG, URCDP Ley 18.331) y </w:t>
      </w:r>
      <w:r>
        <w:rPr>
          <w:b/>
        </w:rPr>
        <w:t>dónde se evidencia</w:t>
      </w:r>
      <w:r>
        <w:t xml:space="preserve"> en el kit.</w:t>
      </w:r>
    </w:p>
    <w:p>
      <w:pPr>
        <w:pStyle w:val="ListBullet"/>
      </w:pPr>
      <w:r>
        <w:t xml:space="preserve">Cómo se estructura una </w:t>
      </w:r>
      <w:r>
        <w:rPr>
          <w:b/>
        </w:rPr>
        <w:t>política</w:t>
      </w:r>
      <w:r>
        <w:t xml:space="preserve"> (objetivo, alcance, roles, reglas, cumplimiento, revisión), un </w:t>
      </w:r>
      <w:r>
        <w:rPr>
          <w:b/>
        </w:rPr>
        <w:t>proceso</w:t>
      </w:r>
      <w:r>
        <w:t xml:space="preserve"> (entradas, pasos, salidas, responsables, métricas) y un </w:t>
      </w:r>
      <w:r>
        <w:rPr>
          <w:b/>
        </w:rPr>
        <w:t>control</w:t>
      </w:r>
      <w:r>
        <w:t xml:space="preserve"> (objetivo, implementación, evidencia, frecuencia).</w:t>
      </w:r>
    </w:p>
    <w:p>
      <w:pPr>
        <w:pStyle w:val="ListBullet"/>
      </w:pPr>
      <w:r>
        <w:t xml:space="preserve">Las </w:t>
      </w:r>
      <w:r>
        <w:rPr>
          <w:b/>
        </w:rPr>
        <w:t>15 plantillas ISACA</w:t>
      </w:r>
      <w:r>
        <w:t xml:space="preserve"> y cómo adaptarlas al Banco: desde Aceptable Use hasta Vulnerability Management.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Los módulos del curso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Documentos del kit que alimenta</w:t>
            </w:r>
          </w:p>
        </w:tc>
      </w:tr>
      <w:tr>
        <w:tc>
          <w:tcPr>
            <w:tcW w:type="dxa" w:w="2412"/>
          </w:tcPr>
          <w:p>
            <w:r/>
            <w:r>
              <w:t>VPOL-00</w:t>
            </w:r>
          </w:p>
        </w:tc>
        <w:tc>
          <w:tcPr>
            <w:tcW w:type="dxa" w:w="2412"/>
          </w:tcPr>
          <w:p>
            <w:r/>
            <w:r>
              <w:t>Índice y mapa del curso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  <w:tc>
          <w:tcPr>
            <w:tcW w:type="dxa" w:w="2412"/>
          </w:tcPr>
          <w:p>
            <w:r/>
            <w:r>
              <w:t>Todos (puerta de entrada)</w:t>
            </w:r>
          </w:p>
        </w:tc>
      </w:tr>
      <w:tr>
        <w:tc>
          <w:tcPr>
            <w:tcW w:type="dxa" w:w="2412"/>
          </w:tcPr>
          <w:p>
            <w:r/>
            <w:r>
              <w:t>VPOL-01</w:t>
            </w:r>
          </w:p>
        </w:tc>
        <w:tc>
          <w:tcPr>
            <w:tcW w:type="dxa" w:w="2412"/>
          </w:tcPr>
          <w:p>
            <w:r/>
            <w:r>
              <w:t>Gestión de vulnerabilidades en Uruguay</w:t>
            </w:r>
          </w:p>
        </w:tc>
        <w:tc>
          <w:tcPr>
            <w:tcW w:type="dxa" w:w="2412"/>
          </w:tcPr>
          <w:p>
            <w:r/>
            <w:r>
              <w:t>🟢-&gt;🟡</w:t>
            </w:r>
          </w:p>
        </w:tc>
        <w:tc>
          <w:tcPr>
            <w:tcW w:type="dxa" w:w="2412"/>
          </w:tcPr>
          <w:p>
            <w:r/>
            <w:r>
              <w:t>PR-06, ID-01, BCU-01</w:t>
            </w:r>
          </w:p>
        </w:tc>
      </w:tr>
      <w:tr>
        <w:tc>
          <w:tcPr>
            <w:tcW w:type="dxa" w:w="2412"/>
          </w:tcPr>
          <w:p>
            <w:r/>
            <w:r>
              <w:t>VPOL-02</w:t>
            </w:r>
          </w:p>
        </w:tc>
        <w:tc>
          <w:tcPr>
            <w:tcW w:type="dxa" w:w="2412"/>
          </w:tcPr>
          <w:p>
            <w:r/>
            <w:r>
              <w:t>Cómo se redacta una política de seguridad</w:t>
            </w:r>
          </w:p>
        </w:tc>
        <w:tc>
          <w:tcPr>
            <w:tcW w:type="dxa" w:w="2412"/>
          </w:tcPr>
          <w:p>
            <w:r/>
            <w:r>
              <w:t>🟡-&gt;🔴</w:t>
            </w:r>
          </w:p>
        </w:tc>
        <w:tc>
          <w:tcPr>
            <w:tcW w:type="dxa" w:w="2412"/>
          </w:tcPr>
          <w:p>
            <w:r/>
            <w:r>
              <w:t>GV-01, PR-01…08</w:t>
            </w:r>
          </w:p>
        </w:tc>
      </w:tr>
      <w:tr>
        <w:tc>
          <w:tcPr>
            <w:tcW w:type="dxa" w:w="2412"/>
          </w:tcPr>
          <w:p>
            <w:r/>
            <w:r>
              <w:t>VPOL-03</w:t>
            </w:r>
          </w:p>
        </w:tc>
        <w:tc>
          <w:tcPr>
            <w:tcW w:type="dxa" w:w="2412"/>
          </w:tcPr>
          <w:p>
            <w:r/>
            <w:r>
              <w:t>Cómo se redacta un proceso de seguridad</w:t>
            </w:r>
          </w:p>
        </w:tc>
        <w:tc>
          <w:tcPr>
            <w:tcW w:type="dxa" w:w="2412"/>
          </w:tcPr>
          <w:p>
            <w:r/>
            <w:r>
              <w:t>🟡-&gt;🔴</w:t>
            </w:r>
          </w:p>
        </w:tc>
        <w:tc>
          <w:tcPr>
            <w:tcW w:type="dxa" w:w="2412"/>
          </w:tcPr>
          <w:p>
            <w:r/>
            <w:r>
              <w:t>RS-01, DE-01, PR-06</w:t>
            </w:r>
          </w:p>
        </w:tc>
      </w:tr>
      <w:tr>
        <w:tc>
          <w:tcPr>
            <w:tcW w:type="dxa" w:w="2412"/>
          </w:tcPr>
          <w:p>
            <w:r/>
            <w:r>
              <w:t>VPOL-04</w:t>
            </w:r>
          </w:p>
        </w:tc>
        <w:tc>
          <w:tcPr>
            <w:tcW w:type="dxa" w:w="2412"/>
          </w:tcPr>
          <w:p>
            <w:r/>
            <w:r>
              <w:t>Cómo se redacta un control y su evidencia</w:t>
            </w:r>
          </w:p>
        </w:tc>
        <w:tc>
          <w:tcPr>
            <w:tcW w:type="dxa" w:w="2412"/>
          </w:tcPr>
          <w:p>
            <w:r/>
            <w:r>
              <w:t>🟡-&gt;🔴</w:t>
            </w:r>
          </w:p>
        </w:tc>
        <w:tc>
          <w:tcPr>
            <w:tcW w:type="dxa" w:w="2412"/>
          </w:tcPr>
          <w:p>
            <w:r/>
            <w:r>
              <w:t>EV-01…05, BCU-05</w:t>
            </w:r>
          </w:p>
        </w:tc>
      </w:tr>
      <w:tr>
        <w:tc>
          <w:tcPr>
            <w:tcW w:type="dxa" w:w="2412"/>
          </w:tcPr>
          <w:p>
            <w:r/>
            <w:r>
              <w:t>VPOL-05</w:t>
            </w:r>
          </w:p>
        </w:tc>
        <w:tc>
          <w:tcPr>
            <w:tcW w:type="dxa" w:w="2412"/>
          </w:tcPr>
          <w:p>
            <w:r/>
            <w:r>
              <w:t>Las 15 plantillas ISACA y cómo adaptarlas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Todos (índice de templates)</w:t>
            </w:r>
          </w:p>
        </w:tc>
      </w:tr>
      <w:tr>
        <w:tc>
          <w:tcPr>
            <w:tcW w:type="dxa" w:w="2412"/>
          </w:tcPr>
          <w:p>
            <w:r/>
            <w:r>
              <w:t>VPOL-06</w:t>
            </w:r>
          </w:p>
        </w:tc>
        <w:tc>
          <w:tcPr>
            <w:tcW w:type="dxa" w:w="2412"/>
          </w:tcPr>
          <w:p>
            <w:r/>
            <w:r>
              <w:t>Template: Acceptable Use (Company Systems)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GV-01, PR-01</w:t>
            </w:r>
          </w:p>
        </w:tc>
      </w:tr>
      <w:tr>
        <w:tc>
          <w:tcPr>
            <w:tcW w:type="dxa" w:w="2412"/>
          </w:tcPr>
          <w:p>
            <w:r/>
            <w:r>
              <w:t>VPOL-07</w:t>
            </w:r>
          </w:p>
        </w:tc>
        <w:tc>
          <w:tcPr>
            <w:tcW w:type="dxa" w:w="2412"/>
          </w:tcPr>
          <w:p>
            <w:r/>
            <w:r>
              <w:t>Template: AI Acceptable Use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GV-01, PR-02</w:t>
            </w:r>
          </w:p>
        </w:tc>
      </w:tr>
      <w:tr>
        <w:tc>
          <w:tcPr>
            <w:tcW w:type="dxa" w:w="2412"/>
          </w:tcPr>
          <w:p>
            <w:r/>
            <w:r>
              <w:t>VPOL-08</w:t>
            </w:r>
          </w:p>
        </w:tc>
        <w:tc>
          <w:tcPr>
            <w:tcW w:type="dxa" w:w="2412"/>
          </w:tcPr>
          <w:p>
            <w:r/>
            <w:r>
              <w:t>Template: Change Management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PR-07, BCU-04</w:t>
            </w:r>
          </w:p>
        </w:tc>
      </w:tr>
      <w:tr>
        <w:tc>
          <w:tcPr>
            <w:tcW w:type="dxa" w:w="2412"/>
          </w:tcPr>
          <w:p>
            <w:r/>
            <w:r>
              <w:t>VPOL-09</w:t>
            </w:r>
          </w:p>
        </w:tc>
        <w:tc>
          <w:tcPr>
            <w:tcW w:type="dxa" w:w="2412"/>
          </w:tcPr>
          <w:p>
            <w:r/>
            <w:r>
              <w:t>Template: Clear Desk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  <w:tc>
          <w:tcPr>
            <w:tcW w:type="dxa" w:w="2412"/>
          </w:tcPr>
          <w:p>
            <w:r/>
            <w:r>
              <w:t>PR-04, PR-03</w:t>
            </w:r>
          </w:p>
        </w:tc>
      </w:tr>
      <w:tr>
        <w:tc>
          <w:tcPr>
            <w:tcW w:type="dxa" w:w="2412"/>
          </w:tcPr>
          <w:p>
            <w:r/>
            <w:r>
              <w:t>VPOL-10</w:t>
            </w:r>
          </w:p>
        </w:tc>
        <w:tc>
          <w:tcPr>
            <w:tcW w:type="dxa" w:w="2412"/>
          </w:tcPr>
          <w:p>
            <w:r/>
            <w:r>
              <w:t>Template: Cloud Computing Services Usage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GV-05, PR-03</w:t>
            </w:r>
          </w:p>
        </w:tc>
      </w:tr>
      <w:tr>
        <w:tc>
          <w:tcPr>
            <w:tcW w:type="dxa" w:w="2412"/>
          </w:tcPr>
          <w:p>
            <w:r/>
            <w:r>
              <w:t>VPOL-11</w:t>
            </w:r>
          </w:p>
        </w:tc>
        <w:tc>
          <w:tcPr>
            <w:tcW w:type="dxa" w:w="2412"/>
          </w:tcPr>
          <w:p>
            <w:r/>
            <w:r>
              <w:t>Template: Data Backup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PR-05, RC-02</w:t>
            </w:r>
          </w:p>
        </w:tc>
      </w:tr>
      <w:tr>
        <w:tc>
          <w:tcPr>
            <w:tcW w:type="dxa" w:w="2412"/>
          </w:tcPr>
          <w:p>
            <w:r/>
            <w:r>
              <w:t>VPOL-12</w:t>
            </w:r>
          </w:p>
        </w:tc>
        <w:tc>
          <w:tcPr>
            <w:tcW w:type="dxa" w:w="2412"/>
          </w:tcPr>
          <w:p>
            <w:r/>
            <w:r>
              <w:t>Template: Information Classification and Protection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ID-01, PR-03, URCDP-01</w:t>
            </w:r>
          </w:p>
        </w:tc>
      </w:tr>
      <w:tr>
        <w:tc>
          <w:tcPr>
            <w:tcW w:type="dxa" w:w="2412"/>
          </w:tcPr>
          <w:p>
            <w:r/>
            <w:r>
              <w:t>VPOL-13</w:t>
            </w:r>
          </w:p>
        </w:tc>
        <w:tc>
          <w:tcPr>
            <w:tcW w:type="dxa" w:w="2412"/>
          </w:tcPr>
          <w:p>
            <w:r/>
            <w:r>
              <w:t>Template: Information Security Policy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GV-01, BCU-01</w:t>
            </w:r>
          </w:p>
        </w:tc>
      </w:tr>
      <w:tr>
        <w:tc>
          <w:tcPr>
            <w:tcW w:type="dxa" w:w="2412"/>
          </w:tcPr>
          <w:p>
            <w:r/>
            <w:r>
              <w:t>VPOL-14</w:t>
            </w:r>
          </w:p>
        </w:tc>
        <w:tc>
          <w:tcPr>
            <w:tcW w:type="dxa" w:w="2412"/>
          </w:tcPr>
          <w:p>
            <w:r/>
            <w:r>
              <w:t>Template: Logging and Monitoring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DE-01, DE-02</w:t>
            </w:r>
          </w:p>
        </w:tc>
      </w:tr>
      <w:tr>
        <w:tc>
          <w:tcPr>
            <w:tcW w:type="dxa" w:w="2412"/>
          </w:tcPr>
          <w:p>
            <w:r/>
            <w:r>
              <w:t>VPOL-15</w:t>
            </w:r>
          </w:p>
        </w:tc>
        <w:tc>
          <w:tcPr>
            <w:tcW w:type="dxa" w:w="2412"/>
          </w:tcPr>
          <w:p>
            <w:r/>
            <w:r>
              <w:t>Template: Network Security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PR-06, BCU-01, DMZ</w:t>
            </w:r>
          </w:p>
        </w:tc>
      </w:tr>
      <w:tr>
        <w:tc>
          <w:tcPr>
            <w:tcW w:type="dxa" w:w="2412"/>
          </w:tcPr>
          <w:p>
            <w:r/>
            <w:r>
              <w:t>VPOL-16</w:t>
            </w:r>
          </w:p>
        </w:tc>
        <w:tc>
          <w:tcPr>
            <w:tcW w:type="dxa" w:w="2412"/>
          </w:tcPr>
          <w:p>
            <w:r/>
            <w:r>
              <w:t>Template: Personnel Security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  <w:tc>
          <w:tcPr>
            <w:tcW w:type="dxa" w:w="2412"/>
          </w:tcPr>
          <w:p>
            <w:r/>
            <w:r>
              <w:t>PR-02, PR-08</w:t>
            </w:r>
          </w:p>
        </w:tc>
      </w:tr>
      <w:tr>
        <w:tc>
          <w:tcPr>
            <w:tcW w:type="dxa" w:w="2412"/>
          </w:tcPr>
          <w:p>
            <w:r/>
            <w:r>
              <w:t>VPOL-17</w:t>
            </w:r>
          </w:p>
        </w:tc>
        <w:tc>
          <w:tcPr>
            <w:tcW w:type="dxa" w:w="2412"/>
          </w:tcPr>
          <w:p>
            <w:r/>
            <w:r>
              <w:t>Template: Removable Media Handling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  <w:tc>
          <w:tcPr>
            <w:tcW w:type="dxa" w:w="2412"/>
          </w:tcPr>
          <w:p>
            <w:r/>
            <w:r>
              <w:t>PR-03, PR-04</w:t>
            </w:r>
          </w:p>
        </w:tc>
      </w:tr>
      <w:tr>
        <w:tc>
          <w:tcPr>
            <w:tcW w:type="dxa" w:w="2412"/>
          </w:tcPr>
          <w:p>
            <w:r/>
            <w:r>
              <w:t>VPOL-18</w:t>
            </w:r>
          </w:p>
        </w:tc>
        <w:tc>
          <w:tcPr>
            <w:tcW w:type="dxa" w:w="2412"/>
          </w:tcPr>
          <w:p>
            <w:r/>
            <w:r>
              <w:t>Template: Third-Party Management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GV-05, PR-08, BCU</w:t>
            </w:r>
          </w:p>
        </w:tc>
      </w:tr>
      <w:tr>
        <w:tc>
          <w:tcPr>
            <w:tcW w:type="dxa" w:w="2412"/>
          </w:tcPr>
          <w:p>
            <w:r/>
            <w:r>
              <w:t>VPOL-19</w:t>
            </w:r>
          </w:p>
        </w:tc>
        <w:tc>
          <w:tcPr>
            <w:tcW w:type="dxa" w:w="2412"/>
          </w:tcPr>
          <w:p>
            <w:r/>
            <w:r>
              <w:t>Template: User Access Management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PR-01, PR-03</w:t>
            </w:r>
          </w:p>
        </w:tc>
      </w:tr>
      <w:tr>
        <w:tc>
          <w:tcPr>
            <w:tcW w:type="dxa" w:w="2412"/>
          </w:tcPr>
          <w:p>
            <w:r/>
            <w:r>
              <w:t>VPOL-20</w:t>
            </w:r>
          </w:p>
        </w:tc>
        <w:tc>
          <w:tcPr>
            <w:tcW w:type="dxa" w:w="2412"/>
          </w:tcPr>
          <w:p>
            <w:r/>
            <w:r>
              <w:t>Template: Vulnerability Management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PR-06, DE-01</w:t>
            </w:r>
          </w:p>
        </w:tc>
      </w:tr>
      <w:tr>
        <w:tc>
          <w:tcPr>
            <w:tcW w:type="dxa" w:w="2412"/>
          </w:tcPr>
          <w:p>
            <w:r/>
            <w:r>
              <w:t>VPOL-21</w:t>
            </w:r>
          </w:p>
        </w:tc>
        <w:tc>
          <w:tcPr>
            <w:tcW w:type="dxa" w:w="2412"/>
          </w:tcPr>
          <w:p>
            <w:r/>
            <w:r>
              <w:t>Correspondencia normativa y checklist final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MATRIZ-001, BCU-05, ID-05</w:t>
            </w:r>
          </w:p>
        </w:tc>
      </w:tr>
    </w:tbl>
    <w:p>
      <w:pPr>
        <w:ind w:left="432"/>
      </w:pPr>
      <w:r>
        <w:rPr>
          <w:i/>
          <w:color w:val="606060"/>
        </w:rPr>
        <w:t>Los templates (VPOL-06 a VPOL-20) viven en `templates-ISACA/` y son plantillas listas para completar, al estilo de las de `02-ENTREGABLES/`.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Cómo usar las plantillas ISACA</w:t>
      </w:r>
    </w:p>
    <w:p>
      <w:pPr>
        <w:pStyle w:val="ListNumber"/>
      </w:pPr>
      <w:r>
        <w:t xml:space="preserve">Abrí la plantilla en </w:t>
      </w:r>
      <w:r>
        <w:rPr>
          <w:rFonts w:ascii="Consolas" w:hAnsi="Consolas"/>
          <w:sz w:val="20"/>
        </w:rPr>
        <w:t>templates-ISACA/</w:t>
      </w:r>
      <w:r>
        <w:t xml:space="preserve"> (</w:t>
      </w:r>
      <w:r>
        <w:rPr>
          <w:rFonts w:ascii="Consolas" w:hAnsi="Consolas"/>
          <w:sz w:val="20"/>
        </w:rPr>
        <w:t>.md</w:t>
      </w:r>
      <w:r>
        <w:t xml:space="preserve"> editable).</w:t>
      </w:r>
    </w:p>
    <w:p>
      <w:pPr>
        <w:pStyle w:val="ListNumber"/>
      </w:pPr>
      <w:r>
        <w:t>Revisá el encabezado (código, versión, estado) y la sección "Marco de referencia".</w:t>
      </w:r>
    </w:p>
    <w:p>
      <w:pPr>
        <w:pStyle w:val="ListNumber"/>
      </w:pPr>
      <w:r>
        <w:t xml:space="preserve">Completá los </w:t>
      </w:r>
      <w:r>
        <w:rPr>
          <w:rFonts w:ascii="Consolas" w:hAnsi="Consolas"/>
          <w:sz w:val="20"/>
        </w:rPr>
        <w:t>[COMPLETAR]</w:t>
      </w:r>
      <w:r>
        <w:t xml:space="preserve"> con la realidad del Banco y los responsables reales.</w:t>
      </w:r>
    </w:p>
    <w:p>
      <w:pPr>
        <w:pStyle w:val="ListNumber"/>
      </w:pPr>
      <w:r>
        <w:t xml:space="preserve">Relacionala con el documento del kit de </w:t>
      </w:r>
      <w:r>
        <w:rPr>
          <w:rFonts w:ascii="Consolas" w:hAnsi="Consolas"/>
          <w:sz w:val="20"/>
        </w:rPr>
        <w:t>02-ENTREGABLES/</w:t>
      </w:r>
      <w:r>
        <w:t xml:space="preserve"> que corresponda (la plantilla indica el código).</w:t>
      </w:r>
    </w:p>
    <w:p>
      <w:pPr>
        <w:pStyle w:val="ListNumber"/>
      </w:pPr>
      <w:r>
        <w:t>Aprobá, registrá en el control de cambios y publicá.</w:t>
      </w:r>
    </w:p>
    <w:p>
      <w:pPr>
        <w:pStyle w:val="ListNumber"/>
      </w:pPr>
      <w:r>
        <w:t xml:space="preserve">Regenerá el </w:t>
      </w:r>
      <w:r>
        <w:rPr>
          <w:rFonts w:ascii="Consolas" w:hAnsi="Consolas"/>
          <w:sz w:val="20"/>
        </w:rPr>
        <w:t>.docx</w:t>
      </w:r>
      <w:r>
        <w:t xml:space="preserve"> con </w:t>
      </w:r>
      <w:r>
        <w:rPr>
          <w:rFonts w:ascii="Consolas" w:hAnsi="Consolas"/>
          <w:sz w:val="20"/>
        </w:rPr>
        <w:t>03-HERRAMIENTAS/md_a_docx.py</w:t>
      </w:r>
      <w:r>
        <w:t>.</w:t>
      </w:r>
    </w:p>
    <w:p>
      <w:pPr>
        <w:spacing w:before="120" w:after="120"/>
      </w:pPr>
    </w:p>
    <w:p>
      <w:r>
        <w:rPr>
          <w:b/>
        </w:rPr>
        <w:t>Siguiente paso:</w:t>
      </w:r>
      <w:r>
        <w:t xml:space="preserve"> abrí </w:t>
      </w:r>
      <w:r>
        <w:rPr>
          <w:rFonts w:ascii="Consolas" w:hAnsi="Consolas"/>
          <w:sz w:val="20"/>
        </w:rPr>
        <w:t>VPOL-01-Gestion-de-Vulnerabilidades-en-Uruguay.md</w:t>
      </w:r>
      <w:r>
        <w:t xml:space="preserve"> para entender el problema que estas políticas resuelven.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