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VPOL-01 · Gestión de Vulnerabilidades en Uruguay</w:t>
      </w:r>
    </w:p>
    <w:p>
      <w:pPr>
        <w:ind w:left="432"/>
      </w:pPr>
      <w:r>
        <w:rPr>
          <w:i/>
          <w:color w:val="606060"/>
        </w:rPr>
        <w:t>**Función del MCU 5.0:** Proteger (PR.PS — seguridad de plataformas) · Detectar (DE.CM — monitoreo continuo)</w:t>
      </w:r>
    </w:p>
    <w:p>
      <w:pPr>
        <w:ind w:left="432"/>
      </w:pPr>
      <w:r>
        <w:rPr>
          <w:i/>
          <w:color w:val="606060"/>
        </w:rPr>
        <w:t>**ISO/IEC 27001:** A.8.8 (gestión de vulnerabilidades técnicas) · A.8.9 (gestión de configuraciones)</w:t>
      </w:r>
    </w:p>
    <w:p>
      <w:pPr>
        <w:ind w:left="432"/>
      </w:pPr>
      <w:r>
        <w:rPr>
          <w:i/>
          <w:color w:val="606060"/>
        </w:rPr>
        <w:t>**BCU:** Estándares Mínimos de Gestión (EMG) · RNRCSF (riesgo tecnológico)</w:t>
      </w:r>
    </w:p>
    <w:p>
      <w:pPr>
        <w:ind w:left="432"/>
      </w:pPr>
      <w:r>
        <w:rPr>
          <w:i/>
          <w:color w:val="606060"/>
        </w:rPr>
        <w:t>**URCDP:** Ley 18.331 art. 10 (medidas de seguridad)</w:t>
      </w:r>
    </w:p>
    <w:p>
      <w:pPr>
        <w:ind w:left="432"/>
      </w:pPr>
      <w:r>
        <w:rPr>
          <w:i/>
          <w:color w:val="606060"/>
        </w:rPr>
        <w:t>**Nivel del curso:** 🟢 Descubrir → 🟡 Practicar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¿Qué es una vulnerabilidad?</w:t>
      </w:r>
    </w:p>
    <w:p>
      <w:r>
        <w:t xml:space="preserve">Una </w:t>
      </w:r>
      <w:r>
        <w:rPr>
          <w:b/>
        </w:rPr>
        <w:t>vulnerabilidad</w:t>
      </w:r>
      <w:r>
        <w:t xml:space="preserve"> es una debilidad en un sistema (software, configuración, diseño o proceso) que un atacante puede explotar. No es el ataque: es la </w:t>
      </w:r>
      <w:r>
        <w:rPr>
          <w:b/>
        </w:rPr>
        <w:t>puerta</w:t>
      </w:r>
      <w:r>
        <w:t xml:space="preserve"> que el ataque usa.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Concepto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Qué es</w:t>
            </w:r>
          </w:p>
        </w:tc>
        <w:tc>
          <w:tcPr>
            <w:tcW w:type="dxa" w:w="3216"/>
          </w:tcPr>
          <w:p>
            <w:r>
              <w:rPr>
                <w:b/>
              </w:rPr>
            </w:r>
            <w:r>
              <w:rPr>
                <w:b/>
              </w:rPr>
              <w:t>Ejemplo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Vulnerabilidad</w:t>
            </w:r>
          </w:p>
        </w:tc>
        <w:tc>
          <w:tcPr>
            <w:tcW w:type="dxa" w:w="3216"/>
          </w:tcPr>
          <w:p>
            <w:r/>
            <w:r>
              <w:t>Debilidad explotable</w:t>
            </w:r>
          </w:p>
        </w:tc>
        <w:tc>
          <w:tcPr>
            <w:tcW w:type="dxa" w:w="3216"/>
          </w:tcPr>
          <w:p>
            <w:r/>
            <w:r>
              <w:t>Un servidor web sin parche con CVE conocido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Amenaza</w:t>
            </w:r>
          </w:p>
        </w:tc>
        <w:tc>
          <w:tcPr>
            <w:tcW w:type="dxa" w:w="3216"/>
          </w:tcPr>
          <w:p>
            <w:r/>
            <w:r>
              <w:t>Lo que aprovecha la debilidad</w:t>
            </w:r>
          </w:p>
        </w:tc>
        <w:tc>
          <w:tcPr>
            <w:tcW w:type="dxa" w:w="3216"/>
          </w:tcPr>
          <w:p>
            <w:r/>
            <w:r>
              <w:t>Un atacante que escanea internet buscando ese servidor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Riesgo</w:t>
            </w:r>
          </w:p>
        </w:tc>
        <w:tc>
          <w:tcPr>
            <w:tcW w:type="dxa" w:w="3216"/>
          </w:tcPr>
          <w:p>
            <w:r/>
            <w:r>
              <w:t>Probabilidad × impacto</w:t>
            </w:r>
          </w:p>
        </w:tc>
        <w:tc>
          <w:tcPr>
            <w:tcW w:type="dxa" w:w="3216"/>
          </w:tcPr>
          <w:p>
            <w:r/>
            <w:r>
              <w:t>Alta probabilidad + alto impacto = riesgo crítico</w:t>
            </w:r>
          </w:p>
        </w:tc>
      </w:tr>
      <w:tr>
        <w:tc>
          <w:tcPr>
            <w:tcW w:type="dxa" w:w="3216"/>
          </w:tcPr>
          <w:p>
            <w:r/>
            <w:r>
              <w:rPr>
                <w:b/>
              </w:rPr>
              <w:t>Exploit</w:t>
            </w:r>
          </w:p>
        </w:tc>
        <w:tc>
          <w:tcPr>
            <w:tcW w:type="dxa" w:w="3216"/>
          </w:tcPr>
          <w:p>
            <w:r/>
            <w:r>
              <w:t>Programa/paquete que explota la vulnerabilidad</w:t>
            </w:r>
          </w:p>
        </w:tc>
        <w:tc>
          <w:tcPr>
            <w:tcW w:type="dxa" w:w="3216"/>
          </w:tcPr>
          <w:p>
            <w:r/>
            <w:r>
              <w:t>Script público que toma el control</w:t>
            </w:r>
          </w:p>
        </w:tc>
      </w:tr>
    </w:tbl>
    <w:p>
      <w:pPr>
        <w:pStyle w:val="Heading2"/>
      </w:pPr>
      <w:r>
        <w:rPr>
          <w:color w:val="1F3B63"/>
        </w:rPr>
        <w:t>2. CVE y CVSS: el idioma de las vulnerabilidades</w:t>
      </w:r>
    </w:p>
    <w:p>
      <w:pPr>
        <w:pStyle w:val="ListBullet"/>
      </w:pPr>
      <w:r>
        <w:rPr>
          <w:b/>
        </w:rPr>
        <w:t>CVE</w:t>
      </w:r>
      <w:r>
        <w:t xml:space="preserve"> (Common Vulnerabilities and Exposures): identificador único de cada vulnerabilidad pública. Ejemplo: </w:t>
      </w:r>
      <w:r>
        <w:rPr>
          <w:rFonts w:ascii="Consolas" w:hAnsi="Consolas"/>
          <w:sz w:val="20"/>
        </w:rPr>
        <w:t>CVE-2021-44228</w:t>
      </w:r>
      <w:r>
        <w:t xml:space="preserve"> (Log4Shell). Se publican en el catálogo de MITRE (www.cve.org).</w:t>
      </w:r>
    </w:p>
    <w:p>
      <w:pPr>
        <w:pStyle w:val="ListBullet"/>
      </w:pPr>
      <w:r>
        <w:rPr>
          <w:b/>
        </w:rPr>
        <w:t>CVSS</w:t>
      </w:r>
      <w:r>
        <w:t xml:space="preserve"> (Common Vulnerability Scoring System): puntaje de 0 a 10 que indica severidad (crítico ≥ 9.0, alto 7.0–8.9, medio 4.0–6.9, bajo &lt; 4.0).</w:t>
      </w:r>
    </w:p>
    <w:p>
      <w:pPr>
        <w:pStyle w:val="ListBullet"/>
      </w:pPr>
      <w:r>
        <w:t xml:space="preserve">El CVSS es un </w:t>
      </w:r>
      <w:r>
        <w:rPr>
          <w:b/>
        </w:rPr>
        <w:t>punto de partida</w:t>
      </w:r>
      <w:r>
        <w:t>: la prioridad real se ajusta por contexto (exposición a internet, datos personales, exploit público activo).</w:t>
      </w:r>
    </w:p>
    <w:p>
      <w:pPr>
        <w:pStyle w:val="Heading2"/>
      </w:pPr>
      <w:r>
        <w:rPr>
          <w:color w:val="1F3B63"/>
        </w:rPr>
        <w:t>3. El ciclo de gestión de vulnerabilidades</w:t>
      </w:r>
    </w:p>
    <w:p>
      <w:pPr>
        <w:pStyle w:val="ListNumber"/>
      </w:pPr>
      <w:r>
        <w:rPr>
          <w:b/>
        </w:rPr>
        <w:t>Identificar:</w:t>
      </w:r>
      <w:r>
        <w:t xml:space="preserve"> inventario de activos (ID-01) actualizado + escaneos periódicos.</w:t>
      </w:r>
    </w:p>
    <w:p>
      <w:pPr>
        <w:pStyle w:val="ListNumber"/>
      </w:pPr>
      <w:r>
        <w:rPr>
          <w:b/>
        </w:rPr>
        <w:t>Evaluar:</w:t>
      </w:r>
      <w:r>
        <w:t xml:space="preserve"> cruzar los hallazgos con la base CVE/CVSS y el contexto del activo.</w:t>
      </w:r>
    </w:p>
    <w:p>
      <w:pPr>
        <w:pStyle w:val="ListNumber"/>
      </w:pPr>
      <w:r>
        <w:rPr>
          <w:b/>
        </w:rPr>
        <w:t>Priorizar:</w:t>
      </w:r>
      <w:r>
        <w:t xml:space="preserve"> decidir qué corregir primero según riesgo real (no solo severidad).</w:t>
      </w:r>
    </w:p>
    <w:p>
      <w:pPr>
        <w:pStyle w:val="ListNumber"/>
      </w:pPr>
      <w:r>
        <w:rPr>
          <w:b/>
        </w:rPr>
        <w:t>Corregir:</w:t>
      </w:r>
      <w:r>
        <w:t xml:space="preserve"> aplicar parche, mitigación temporal o aceptar el riesgo con excepción formal.</w:t>
      </w:r>
    </w:p>
    <w:p>
      <w:pPr>
        <w:pStyle w:val="ListNumber"/>
      </w:pPr>
      <w:r>
        <w:rPr>
          <w:b/>
        </w:rPr>
        <w:t>Verificar:</w:t>
      </w:r>
      <w:r>
        <w:t xml:space="preserve"> confirmar que la vulnerabilidad desapareció y que el servicio quedó operativo.</w:t>
      </w:r>
    </w:p>
    <w:p>
      <w:pPr>
        <w:pStyle w:val="ListNumber"/>
      </w:pPr>
      <w:r>
        <w:rPr>
          <w:b/>
        </w:rPr>
        <w:t>Repetir:</w:t>
      </w:r>
      <w:r>
        <w:t xml:space="preserve"> es un proceso continuo, no un evento.</w:t>
      </w:r>
    </w:p>
    <w:p>
      <w:pPr>
        <w:pStyle w:val="Heading2"/>
      </w:pPr>
      <w:r>
        <w:rPr>
          <w:color w:val="1F3B63"/>
        </w:rPr>
        <w:t>4. Qué espera el regulador uruguayo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Referencia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Qué exige sobre vulnerabilidades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Agesic · MCU 5.0</w:t>
            </w:r>
          </w:p>
        </w:tc>
        <w:tc>
          <w:tcPr>
            <w:tcW w:type="dxa" w:w="4824"/>
          </w:tcPr>
          <w:p>
            <w:r/>
            <w:r>
              <w:t>PR.PS (seguridad de plataformas: configuración y mantenimiento), DE.CM (monitoreo continuo). Guía: escaneo periódico (recomendado mensual) y corrección según criticidad.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Agesic · CERTuy</w:t>
            </w:r>
          </w:p>
        </w:tc>
        <w:tc>
          <w:tcPr>
            <w:tcW w:type="dxa" w:w="4824"/>
          </w:tcPr>
          <w:p>
            <w:r/>
            <w:r>
              <w:t>Monitoreo de alertas y coordinación ante vulnerabilidades activas.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BCU · EMG</w:t>
            </w:r>
          </w:p>
        </w:tc>
        <w:tc>
          <w:tcPr>
            <w:tcW w:type="dxa" w:w="4824"/>
          </w:tcPr>
          <w:p>
            <w:r/>
            <w:r>
              <w:t>Gestión del riesgo tecnológico: identificación, evaluación y tratamiento de vulnerabilidades en el marco de los estándares mínimos.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URCDP · Ley 18.331</w:t>
            </w:r>
          </w:p>
        </w:tc>
        <w:tc>
          <w:tcPr>
            <w:tcW w:type="dxa" w:w="4824"/>
          </w:tcPr>
          <w:p>
            <w:r/>
            <w:r>
              <w:t>Art. 10: medidas de seguridad técnicas y organizativas para proteger datos personales (el parcheo es una de ellas).</w:t>
            </w:r>
          </w:p>
        </w:tc>
      </w:tr>
    </w:tbl>
    <w:p>
      <w:pPr>
        <w:pStyle w:val="Heading2"/>
      </w:pPr>
      <w:r>
        <w:rPr>
          <w:color w:val="1F3B63"/>
        </w:rPr>
        <w:t>5. Herramientas libres para gestionar vulnerabilidades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Herramienta</w:t>
            </w:r>
          </w:p>
        </w:tc>
        <w:tc>
          <w:tcPr>
            <w:tcW w:type="dxa" w:w="4824"/>
          </w:tcPr>
          <w:p>
            <w:r>
              <w:rPr>
                <w:b/>
              </w:rPr>
            </w:r>
            <w:r>
              <w:rPr>
                <w:b/>
              </w:rPr>
              <w:t>Para qué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OpenVAS / Greenbone</w:t>
            </w:r>
          </w:p>
        </w:tc>
        <w:tc>
          <w:tcPr>
            <w:tcW w:type="dxa" w:w="4824"/>
          </w:tcPr>
          <w:p>
            <w:r/>
            <w:r>
              <w:t>Escaneo de vulnerabilidades de red e infraestructura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Trivy</w:t>
            </w:r>
          </w:p>
        </w:tc>
        <w:tc>
          <w:tcPr>
            <w:tcW w:type="dxa" w:w="4824"/>
          </w:tcPr>
          <w:p>
            <w:r/>
            <w:r>
              <w:t>Escaneo de imágenes de contenedores (CVEs)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pip-audit</w:t>
            </w:r>
          </w:p>
        </w:tc>
        <w:tc>
          <w:tcPr>
            <w:tcW w:type="dxa" w:w="4824"/>
          </w:tcPr>
          <w:p>
            <w:r/>
            <w:r>
              <w:t>Auditoría de dependencias de Python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Bandit / Semgrep</w:t>
            </w:r>
          </w:p>
        </w:tc>
        <w:tc>
          <w:tcPr>
            <w:tcW w:type="dxa" w:w="4824"/>
          </w:tcPr>
          <w:p>
            <w:r/>
            <w:r>
              <w:t>Análisis estático de código (SAST)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OWASP ZAP</w:t>
            </w:r>
          </w:p>
        </w:tc>
        <w:tc>
          <w:tcPr>
            <w:tcW w:type="dxa" w:w="4824"/>
          </w:tcPr>
          <w:p>
            <w:r/>
            <w:r>
              <w:t>Pruebas dinámicas sobre aplicaciones web (DAST)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Wazuh</w:t>
            </w:r>
          </w:p>
        </w:tc>
        <w:tc>
          <w:tcPr>
            <w:tcW w:type="dxa" w:w="4824"/>
          </w:tcPr>
          <w:p>
            <w:r/>
            <w:r>
              <w:t>Detección en tiempo real y correlación (SIEM)</w:t>
            </w:r>
          </w:p>
        </w:tc>
      </w:tr>
      <w:tr>
        <w:tc>
          <w:tcPr>
            <w:tcW w:type="dxa" w:w="4824"/>
          </w:tcPr>
          <w:p>
            <w:r/>
            <w:r>
              <w:rPr>
                <w:b/>
              </w:rPr>
              <w:t>GLPI + plugins</w:t>
            </w:r>
          </w:p>
        </w:tc>
        <w:tc>
          <w:tcPr>
            <w:tcW w:type="dxa" w:w="4824"/>
          </w:tcPr>
          <w:p>
            <w:r/>
            <w:r>
              <w:t>Inventario de activos (base del proceso)</w:t>
            </w:r>
          </w:p>
        </w:tc>
      </w:tr>
    </w:tbl>
    <w:p>
      <w:pPr>
        <w:ind w:left="432"/>
      </w:pPr>
      <w:r>
        <w:rPr>
          <w:i/>
          <w:color w:val="606060"/>
        </w:rPr>
        <w:t>En este kit, el **template VPOL-20 (Vulnerability Management)** transforma esta teoría en política; el **PR-06** de `02-ENTREGABLES` la transforma en documento operativo; y el curso `rsi-tools` (módulos 09 y 10) enseña a usar las herramientas.</w:t>
      </w:r>
    </w:p>
    <w:p>
      <w:pPr>
        <w:pStyle w:val="Heading2"/>
      </w:pPr>
      <w:r>
        <w:rPr>
          <w:color w:val="1F3B63"/>
        </w:rPr>
        <w:t>6. Evidencia que demuestra el cumplimiento</w:t>
      </w:r>
    </w:p>
    <w:p>
      <w:pPr>
        <w:pStyle w:val="ListBullet"/>
      </w:pPr>
      <w:r>
        <w:t>Escaneos ejecutados (fecha, alcance, herramienta).</w:t>
      </w:r>
    </w:p>
    <w:p>
      <w:pPr>
        <w:pStyle w:val="ListBullet"/>
      </w:pPr>
      <w:r>
        <w:t>Reportes con CVEs y severidades.</w:t>
      </w:r>
    </w:p>
    <w:p>
      <w:pPr>
        <w:pStyle w:val="ListBullet"/>
      </w:pPr>
      <w:r>
        <w:t>Registro de corrección (fecha de parcheo) y verificación posterior.</w:t>
      </w:r>
    </w:p>
    <w:p>
      <w:pPr>
        <w:pStyle w:val="ListBullet"/>
      </w:pPr>
      <w:r>
        <w:t>Excepciones aceptadas con mitigación compensatoria.</w:t>
      </w:r>
    </w:p>
    <w:p>
      <w:pPr>
        <w:pStyle w:val="ListBullet"/>
      </w:pPr>
      <w:r>
        <w:t>Métricas: % activos escaneados, tiempo medio de corrección, vulnerabilidades críticas abiertas.</w:t>
      </w:r>
    </w:p>
    <w:p>
      <w:pPr>
        <w:ind w:left="432"/>
      </w:pPr>
      <w:r>
        <w:rPr>
          <w:i/>
          <w:color w:val="606060"/>
        </w:rPr>
        <w:t>**Regla de oro:** sin inventario no hay escaneo confiable; sin escaneo no hay priorización; sin priorización no hay parcheo; sin verificación no hay evidencia.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