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VPOL-02 · Cómo se redacta una política de seguridad</w:t>
      </w:r>
    </w:p>
    <w:p>
      <w:pPr>
        <w:ind w:left="432"/>
      </w:pPr>
      <w:r>
        <w:rPr>
          <w:i/>
          <w:color w:val="606060"/>
        </w:rPr>
        <w:t>**Función del MCU 5.0:** Gobernar (GV.OR — marco de gestión, políticas) · Proteger (PR.AC — gestión de identidades y accesos)</w:t>
      </w:r>
    </w:p>
    <w:p>
      <w:pPr>
        <w:ind w:left="432"/>
      </w:pPr>
      <w:r>
        <w:rPr>
          <w:i/>
          <w:color w:val="606060"/>
        </w:rPr>
        <w:t>**ISO/IEC 27001:** A.5.1 (políticas para la seguridad de la información) · A.5.2 (revisión)</w:t>
      </w:r>
    </w:p>
    <w:p>
      <w:pPr>
        <w:ind w:left="432"/>
      </w:pPr>
      <w:r>
        <w:rPr>
          <w:i/>
          <w:color w:val="606060"/>
        </w:rPr>
        <w:t>**BCU:** EMG — gobierno y cultura de seguridad; las políticas son la base de la gestión de riesgos</w:t>
      </w:r>
    </w:p>
    <w:p>
      <w:pPr>
        <w:ind w:left="432"/>
      </w:pPr>
      <w:r>
        <w:rPr>
          <w:i/>
          <w:color w:val="606060"/>
        </w:rPr>
        <w:t>**URCDP:** Ley 18.331 art. 10 (medidas de seguridad) — las políticas documentan esas medidas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¿Qué es una política?</w:t>
      </w:r>
    </w:p>
    <w:p>
      <w:r>
        <w:t xml:space="preserve">Una </w:t>
      </w:r>
      <w:r>
        <w:rPr>
          <w:b/>
        </w:rPr>
        <w:t>política de seguridad</w:t>
      </w:r>
      <w:r>
        <w:t xml:space="preserve"> es un documento de alto nivel, aprobado por la dirección, que expresa </w:t>
      </w:r>
      <w:r>
        <w:rPr>
          <w:b/>
        </w:rPr>
        <w:t>qué</w:t>
      </w:r>
      <w:r>
        <w:t xml:space="preserve"> debe cumplirse. No explica el detalle de </w:t>
      </w:r>
      <w:r>
        <w:rPr>
          <w:b/>
        </w:rPr>
        <w:t>cómo</w:t>
      </w:r>
      <w:r>
        <w:t xml:space="preserve"> (eso es el proceso/procedimiento): fija las reglas, los responsables y las consecuencias de incumplimiento.</w:t>
      </w:r>
    </w:p>
    <w:p>
      <w:pPr>
        <w:pStyle w:val="ListBullet"/>
      </w:pPr>
      <w:r>
        <w:t xml:space="preserve">Decimos </w:t>
      </w:r>
      <w:r>
        <w:rPr>
          <w:b/>
        </w:rPr>
        <w:t>qué</w:t>
      </w:r>
      <w:r>
        <w:t xml:space="preserve"> → la política.</w:t>
      </w:r>
    </w:p>
    <w:p>
      <w:pPr>
        <w:pStyle w:val="ListBullet"/>
      </w:pPr>
      <w:r>
        <w:t xml:space="preserve">Decimos </w:t>
      </w:r>
      <w:r>
        <w:rPr>
          <w:b/>
        </w:rPr>
        <w:t>cómo, cuándo y quién</w:t>
      </w:r>
      <w:r>
        <w:t xml:space="preserve"> → el proceso/procedimiento.</w:t>
      </w:r>
    </w:p>
    <w:p>
      <w:pPr>
        <w:pStyle w:val="ListBullet"/>
      </w:pPr>
      <w:r>
        <w:t xml:space="preserve">Comprobamos que </w:t>
      </w:r>
      <w:r>
        <w:rPr>
          <w:b/>
        </w:rPr>
        <w:t>se cumple y se evidencia</w:t>
      </w:r>
      <w:r>
        <w:t xml:space="preserve"> → el control.</w:t>
      </w:r>
    </w:p>
    <w:p>
      <w:pPr>
        <w:pStyle w:val="Heading2"/>
      </w:pPr>
      <w:r>
        <w:rPr>
          <w:color w:val="1F3B63"/>
        </w:rPr>
        <w:t>2. Estructura estándar de una política</w:t>
      </w:r>
    </w:p>
    <w:p>
      <w:r>
        <w:t>Toda política del kit (y de las plantillas ISACA) sigue esta 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Sección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va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Pregunta que responde</w:t>
            </w:r>
          </w:p>
        </w:tc>
      </w:tr>
      <w:tr>
        <w:tc>
          <w:tcPr>
            <w:tcW w:type="dxa" w:w="3216"/>
          </w:tcPr>
          <w:p>
            <w:r/>
            <w:r>
              <w:t>Encabezado</w:t>
            </w:r>
          </w:p>
        </w:tc>
        <w:tc>
          <w:tcPr>
            <w:tcW w:type="dxa" w:w="3216"/>
          </w:tcPr>
          <w:p>
            <w:r/>
            <w:r>
              <w:t>Código, versión, estado, fecha, aprobadores</w:t>
            </w:r>
          </w:p>
        </w:tc>
        <w:tc>
          <w:tcPr>
            <w:tcW w:type="dxa" w:w="3216"/>
          </w:tcPr>
          <w:p>
            <w:r/>
            <w:r>
              <w:t>¿Qué documento es?</w:t>
            </w:r>
          </w:p>
        </w:tc>
      </w:tr>
      <w:tr>
        <w:tc>
          <w:tcPr>
            <w:tcW w:type="dxa" w:w="3216"/>
          </w:tcPr>
          <w:p>
            <w:r/>
            <w:r>
              <w:t>Objetivo</w:t>
            </w:r>
          </w:p>
        </w:tc>
        <w:tc>
          <w:tcPr>
            <w:tcW w:type="dxa" w:w="3216"/>
          </w:tcPr>
          <w:p>
            <w:r/>
            <w:r>
              <w:t>Propósito de la política</w:t>
            </w:r>
          </w:p>
        </w:tc>
        <w:tc>
          <w:tcPr>
            <w:tcW w:type="dxa" w:w="3216"/>
          </w:tcPr>
          <w:p>
            <w:r/>
            <w:r>
              <w:t>¿Para qué existe?</w:t>
            </w:r>
          </w:p>
        </w:tc>
      </w:tr>
      <w:tr>
        <w:tc>
          <w:tcPr>
            <w:tcW w:type="dxa" w:w="3216"/>
          </w:tcPr>
          <w:p>
            <w:r/>
            <w:r>
              <w:t>Alcance</w:t>
            </w:r>
          </w:p>
        </w:tc>
        <w:tc>
          <w:tcPr>
            <w:tcW w:type="dxa" w:w="3216"/>
          </w:tcPr>
          <w:p>
            <w:r/>
            <w:r>
              <w:t>A quién/a qué aplica (y qué queda fuera)</w:t>
            </w:r>
          </w:p>
        </w:tc>
        <w:tc>
          <w:tcPr>
            <w:tcW w:type="dxa" w:w="3216"/>
          </w:tcPr>
          <w:p>
            <w:r/>
            <w:r>
              <w:t>¿A quién alcanza?</w:t>
            </w:r>
          </w:p>
        </w:tc>
      </w:tr>
      <w:tr>
        <w:tc>
          <w:tcPr>
            <w:tcW w:type="dxa" w:w="3216"/>
          </w:tcPr>
          <w:p>
            <w:r/>
            <w:r>
              <w:t>Marco de referencia</w:t>
            </w:r>
          </w:p>
        </w:tc>
        <w:tc>
          <w:tcPr>
            <w:tcW w:type="dxa" w:w="3216"/>
          </w:tcPr>
          <w:p>
            <w:r/>
            <w:r>
              <w:t>Normas: Agesic, BCU, URCDP, ISO 27001</w:t>
            </w:r>
          </w:p>
        </w:tc>
        <w:tc>
          <w:tcPr>
            <w:tcW w:type="dxa" w:w="3216"/>
          </w:tcPr>
          <w:p>
            <w:r/>
            <w:r>
              <w:t>¿De dónde surge?</w:t>
            </w:r>
          </w:p>
        </w:tc>
      </w:tr>
      <w:tr>
        <w:tc>
          <w:tcPr>
            <w:tcW w:type="dxa" w:w="3216"/>
          </w:tcPr>
          <w:p>
            <w:r/>
            <w:r>
              <w:t>Roles y responsabilidades</w:t>
            </w:r>
          </w:p>
        </w:tc>
        <w:tc>
          <w:tcPr>
            <w:tcW w:type="dxa" w:w="3216"/>
          </w:tcPr>
          <w:p>
            <w:r/>
            <w:r>
              <w:t>Quién decide, quién ejecuta, quién audita</w:t>
            </w:r>
          </w:p>
        </w:tc>
        <w:tc>
          <w:tcPr>
            <w:tcW w:type="dxa" w:w="3216"/>
          </w:tcPr>
          <w:p>
            <w:r/>
            <w:r>
              <w:t>¿Quién responde?</w:t>
            </w:r>
          </w:p>
        </w:tc>
      </w:tr>
      <w:tr>
        <w:tc>
          <w:tcPr>
            <w:tcW w:type="dxa" w:w="3216"/>
          </w:tcPr>
          <w:p>
            <w:r/>
            <w:r>
              <w:t>Reglas / disposiciones</w:t>
            </w:r>
          </w:p>
        </w:tc>
        <w:tc>
          <w:tcPr>
            <w:tcW w:type="dxa" w:w="3216"/>
          </w:tcPr>
          <w:p>
            <w:r/>
            <w:r>
              <w:t>Las reglas concretas (numeradas)</w:t>
            </w:r>
          </w:p>
        </w:tc>
        <w:tc>
          <w:tcPr>
            <w:tcW w:type="dxa" w:w="3216"/>
          </w:tcPr>
          <w:p>
            <w:r/>
            <w:r>
              <w:t>¿Qué se debe hacer?</w:t>
            </w:r>
          </w:p>
        </w:tc>
      </w:tr>
      <w:tr>
        <w:tc>
          <w:tcPr>
            <w:tcW w:type="dxa" w:w="3216"/>
          </w:tcPr>
          <w:p>
            <w:r/>
            <w:r>
              <w:t>Cumplimiento</w:t>
            </w:r>
          </w:p>
        </w:tc>
        <w:tc>
          <w:tcPr>
            <w:tcW w:type="dxa" w:w="3216"/>
          </w:tcPr>
          <w:p>
            <w:r/>
            <w:r>
              <w:t>Consecuencias del incumplimiento</w:t>
            </w:r>
          </w:p>
        </w:tc>
        <w:tc>
          <w:tcPr>
            <w:tcW w:type="dxa" w:w="3216"/>
          </w:tcPr>
          <w:p>
            <w:r/>
            <w:r>
              <w:t>¿Qué pasa si no?</w:t>
            </w:r>
          </w:p>
        </w:tc>
      </w:tr>
      <w:tr>
        <w:tc>
          <w:tcPr>
            <w:tcW w:type="dxa" w:w="3216"/>
          </w:tcPr>
          <w:p>
            <w:r/>
            <w:r>
              <w:t>Excepciones</w:t>
            </w:r>
          </w:p>
        </w:tc>
        <w:tc>
          <w:tcPr>
            <w:tcW w:type="dxa" w:w="3216"/>
          </w:tcPr>
          <w:p>
            <w:r/>
            <w:r>
              <w:t>Cómo se pide y se aprueba una desviación</w:t>
            </w:r>
          </w:p>
        </w:tc>
        <w:tc>
          <w:tcPr>
            <w:tcW w:type="dxa" w:w="3216"/>
          </w:tcPr>
          <w:p>
            <w:r/>
            <w:r>
              <w:t>¿Se puede salir de la regla?</w:t>
            </w:r>
          </w:p>
        </w:tc>
      </w:tr>
      <w:tr>
        <w:tc>
          <w:tcPr>
            <w:tcW w:type="dxa" w:w="3216"/>
          </w:tcPr>
          <w:p>
            <w:r/>
            <w:r>
              <w:t>Revisión</w:t>
            </w:r>
          </w:p>
        </w:tc>
        <w:tc>
          <w:tcPr>
            <w:tcW w:type="dxa" w:w="3216"/>
          </w:tcPr>
          <w:p>
            <w:r/>
            <w:r>
              <w:t>Periodicidad de actualización</w:t>
            </w:r>
          </w:p>
        </w:tc>
        <w:tc>
          <w:tcPr>
            <w:tcW w:type="dxa" w:w="3216"/>
          </w:tcPr>
          <w:p>
            <w:r/>
            <w:r>
              <w:t>¿Cuándo se revisa?</w:t>
            </w:r>
          </w:p>
        </w:tc>
      </w:tr>
    </w:tbl>
    <w:p>
      <w:pPr>
        <w:pStyle w:val="Heading2"/>
      </w:pPr>
      <w:r>
        <w:rPr>
          <w:color w:val="1F3B63"/>
        </w:rPr>
        <w:t>3. Reglas de oro para escribir bien</w:t>
      </w:r>
    </w:p>
    <w:p>
      <w:pPr>
        <w:pStyle w:val="ListNumber"/>
      </w:pPr>
      <w:r>
        <w:rPr>
          <w:b/>
        </w:rPr>
        <w:t>Un párrafo de objetivo corto y verificable.</w:t>
      </w:r>
      <w:r>
        <w:t xml:space="preserve"> Si no se puede auditar, no sirve.</w:t>
      </w:r>
    </w:p>
    <w:p>
      <w:pPr>
        <w:pStyle w:val="ListNumber"/>
      </w:pPr>
      <w:r>
        <w:rPr>
          <w:b/>
        </w:rPr>
        <w:t>Alcance explícito</w:t>
      </w:r>
      <w:r>
        <w:t>: "Aplica a todo el personal del Banco, proveedores y contratistas".</w:t>
      </w:r>
    </w:p>
    <w:p>
      <w:pPr>
        <w:pStyle w:val="ListNumber"/>
      </w:pPr>
      <w:r>
        <w:rPr>
          <w:b/>
        </w:rPr>
        <w:t>Verbos en presente</w:t>
      </w:r>
      <w:r>
        <w:t>: "El usuario debe", "El RSI aprueba". Nada de "se debería".</w:t>
      </w:r>
    </w:p>
    <w:p>
      <w:pPr>
        <w:pStyle w:val="ListNumber"/>
      </w:pPr>
      <w:r>
        <w:rPr>
          <w:b/>
        </w:rPr>
        <w:t>Cada regla con responsable y sanción/control asociado.</w:t>
      </w:r>
    </w:p>
    <w:p>
      <w:pPr>
        <w:pStyle w:val="ListNumber"/>
      </w:pPr>
      <w:r>
        <w:rPr>
          <w:b/>
        </w:rPr>
        <w:t>Evitar jerga</w:t>
      </w:r>
      <w:r>
        <w:t>: si un auditor o un nuevo empleado no la entiende, está mal escrita.</w:t>
      </w:r>
    </w:p>
    <w:p>
      <w:pPr>
        <w:pStyle w:val="ListNumber"/>
      </w:pPr>
      <w:r>
        <w:rPr>
          <w:b/>
        </w:rPr>
        <w:t>Usar el [COMPLETAR]</w:t>
      </w:r>
      <w:r>
        <w:t xml:space="preserve"> para los datos del Banco: así la plantilla se reutiliza.</w:t>
      </w:r>
    </w:p>
    <w:p>
      <w:pPr>
        <w:pStyle w:val="Heading2"/>
      </w:pPr>
      <w:r>
        <w:rPr>
          <w:color w:val="1F3B63"/>
        </w:rPr>
        <w:t>4. Ejemplo de regla bien redactada</w:t>
      </w:r>
    </w:p>
    <w:p>
      <w:r>
        <w:t>❌ "Se recomienda que las contraseñas sean suficientemente seguras y que eventualmente se cambien periódicamente."</w:t>
      </w:r>
    </w:p>
    <w:p>
      <w:r>
        <w:t>✅ "</w:t>
      </w:r>
      <w:r>
        <w:rPr>
          <w:b/>
        </w:rPr>
        <w:t>PR-01-R7.</w:t>
      </w:r>
      <w:r>
        <w:t xml:space="preserve"> Las contraseñas de cuentas de usuario deben tener mínimo 12 caracteres e incluir 3 de 4 clases de caracteres. Se exige rotación anual obligatoria (o inmediata ante sospecha de compromiso). El Administrador de Sistemas verifica el cumplimiento con la política de contraseñas del dominio y reporta las excepciones al RSI cada mes."</w:t>
      </w:r>
    </w:p>
    <w:p>
      <w:pPr>
        <w:pStyle w:val="Heading2"/>
      </w:pPr>
      <w:r>
        <w:rPr>
          <w:color w:val="1F3B63"/>
        </w:rPr>
        <w:t>5. Frecuencia de revisión</w:t>
      </w:r>
    </w:p>
    <w:p>
      <w:pPr>
        <w:pStyle w:val="ListBullet"/>
      </w:pPr>
      <w:r>
        <w:t xml:space="preserve">Las políticas se revisan </w:t>
      </w:r>
      <w:r>
        <w:rPr>
          <w:b/>
        </w:rPr>
        <w:t>al menos anualmente</w:t>
      </w:r>
      <w:r>
        <w:t xml:space="preserve"> o ante cambios significativos (nueva norma, incidente, cambio de negocio).</w:t>
      </w:r>
    </w:p>
    <w:p>
      <w:pPr>
        <w:pStyle w:val="ListBullet"/>
      </w:pPr>
      <w:r>
        <w:t xml:space="preserve">Toda revisión se registra en el </w:t>
      </w:r>
      <w:r>
        <w:rPr>
          <w:b/>
        </w:rPr>
        <w:t>control de cambios</w:t>
      </w:r>
      <w:r>
        <w:t xml:space="preserve"> del SGSI (GV-06).</w:t>
      </w:r>
    </w:p>
    <w:p>
      <w:pPr>
        <w:pStyle w:val="ListBullet"/>
      </w:pPr>
      <w:r>
        <w:t xml:space="preserve">La aprobación final corresponde al </w:t>
      </w:r>
      <w:r>
        <w:rPr>
          <w:b/>
        </w:rPr>
        <w:t>Comité de Seguridad de la Información</w:t>
      </w:r>
      <w:r>
        <w:t>.</w:t>
      </w:r>
    </w:p>
    <w:p>
      <w:pPr>
        <w:pStyle w:val="Heading2"/>
      </w:pPr>
      <w:r>
        <w:rPr>
          <w:color w:val="1F3B63"/>
        </w:rPr>
        <w:t>6. Relación con el kit</w:t>
      </w:r>
    </w:p>
    <w:p>
      <w:pPr>
        <w:pStyle w:val="ListBullet"/>
      </w:pPr>
      <w:r>
        <w:t xml:space="preserve">Las políticas aprobadas se publican en </w:t>
      </w:r>
      <w:r>
        <w:rPr>
          <w:rFonts w:ascii="Consolas" w:hAnsi="Consolas"/>
          <w:sz w:val="20"/>
        </w:rPr>
        <w:t>02-ENTREGABLES/</w:t>
      </w:r>
      <w:r>
        <w:t xml:space="preserve"> (GV-01, PR-01…PR-08, RS-01, etc.).</w:t>
      </w:r>
    </w:p>
    <w:p>
      <w:pPr>
        <w:pStyle w:val="ListBullet"/>
      </w:pPr>
      <w:r>
        <w:t xml:space="preserve">Cada plantilla ISACA (VPOL-06…VPOL-20) ya está redactada con esta estructura: solo completá los </w:t>
      </w:r>
      <w:r>
        <w:rPr>
          <w:rFonts w:ascii="Consolas" w:hAnsi="Consolas"/>
          <w:sz w:val="20"/>
        </w:rPr>
        <w:t>[COMPLETAR]</w:t>
      </w:r>
      <w:r>
        <w:t>.</w:t>
      </w:r>
    </w:p>
    <w:p>
      <w:pPr>
        <w:pStyle w:val="ListBullet"/>
      </w:pPr>
      <w:r>
        <w:t>La actividad DOCX 44 del curso RSI practica la redacción completa.</w:t>
      </w:r>
    </w:p>
    <w:p>
      <w:pPr>
        <w:ind w:left="432"/>
      </w:pPr>
      <w:r>
        <w:rPr>
          <w:i/>
          <w:color w:val="606060"/>
        </w:rPr>
        <w:t>**Recuerde:** la política es el *qué*. Un SGSI con 15 políticas perfectas pero cero procesos que las ejecuten es papel mojado.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