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VPOL-03 · Cómo se redacta un proceso de seguridad</w:t>
      </w:r>
    </w:p>
    <w:p>
      <w:pPr>
        <w:ind w:left="432"/>
      </w:pPr>
      <w:r>
        <w:rPr>
          <w:i/>
          <w:color w:val="606060"/>
        </w:rPr>
        <w:t>**Función del MCU 5.0:** Detectar (DE.CM — monitoreo) · Responder (RS) · Recuperar (RC) · Gobernar (GV)</w:t>
      </w:r>
    </w:p>
    <w:p>
      <w:pPr>
        <w:ind w:left="432"/>
      </w:pPr>
      <w:r>
        <w:rPr>
          <w:i/>
          <w:color w:val="606060"/>
        </w:rPr>
        <w:t>**ISO/IEC 27001:** A.5.22 (selección de controles) · A.8.8 (gestión de vulnerabilidades) · A.16 (gestión de incidentes)</w:t>
      </w:r>
    </w:p>
    <w:p>
      <w:pPr>
        <w:ind w:left="432"/>
      </w:pPr>
      <w:r>
        <w:rPr>
          <w:i/>
          <w:color w:val="606060"/>
        </w:rPr>
        <w:t>**BCU:** EMG — procesos formalizados para gestionar el riesgo tecnológico y la continuidad</w:t>
      </w:r>
    </w:p>
    <w:p>
      <w:pPr>
        <w:ind w:left="432"/>
      </w:pPr>
      <w:r>
        <w:rPr>
          <w:i/>
          <w:color w:val="606060"/>
        </w:rPr>
        <w:t>**URCDP:** Ley 18.331 art. 10 y régimen de notificación de vulneraciones (procesos obligatorios)</w:t>
      </w:r>
    </w:p>
    <w:p>
      <w:pPr>
        <w:ind w:left="432"/>
      </w:pPr>
      <w:r>
        <w:rPr>
          <w:i/>
          <w:color w:val="606060"/>
        </w:rPr>
        <w:t>**Nivel del curso:** 🟡 Practicar →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¿Qué es un proceso?</w:t>
      </w:r>
    </w:p>
    <w:p>
      <w:r>
        <w:t xml:space="preserve">Un </w:t>
      </w:r>
      <w:r>
        <w:rPr>
          <w:b/>
        </w:rPr>
        <w:t>proceso</w:t>
      </w:r>
      <w:r>
        <w:t xml:space="preserve"> describe </w:t>
      </w:r>
      <w:r>
        <w:rPr>
          <w:b/>
        </w:rPr>
        <w:t>cómo</w:t>
      </w:r>
      <w:r>
        <w:t xml:space="preserve"> se cumple una política: secuencia ordenada de actividades, con responsables, plazos, entradas y salidas. Mientras la política dice "los parches críticos se aplican en 72 h", el proceso dice </w:t>
      </w:r>
      <w:r>
        <w:rPr>
          <w:i/>
        </w:rPr>
        <w:t>quién</w:t>
      </w:r>
      <w:r>
        <w:t xml:space="preserve"> detecta, </w:t>
      </w:r>
      <w:r>
        <w:rPr>
          <w:i/>
        </w:rPr>
        <w:t>cómo</w:t>
      </w:r>
      <w:r>
        <w:t xml:space="preserve"> se prioriza, </w:t>
      </w:r>
      <w:r>
        <w:rPr>
          <w:i/>
        </w:rPr>
        <w:t>quién</w:t>
      </w:r>
      <w:r>
        <w:t xml:space="preserve"> aprueba la ventana, </w:t>
      </w:r>
      <w:r>
        <w:rPr>
          <w:i/>
        </w:rPr>
        <w:t>cómo</w:t>
      </w:r>
      <w:r>
        <w:t xml:space="preserve"> se verifica y </w:t>
      </w:r>
      <w:r>
        <w:rPr>
          <w:i/>
        </w:rPr>
        <w:t>qué</w:t>
      </w:r>
      <w:r>
        <w:t xml:space="preserve"> se registra.</w:t>
      </w:r>
    </w:p>
    <w:p>
      <w:pPr>
        <w:ind w:left="432"/>
      </w:pPr>
      <w:r>
        <w:rPr>
          <w:i/>
          <w:color w:val="606060"/>
        </w:rPr>
        <w:t>La política es el **destino**; el proceso es el **mapa** para llegar.</w:t>
      </w:r>
    </w:p>
    <w:p>
      <w:pPr>
        <w:pStyle w:val="Heading2"/>
      </w:pPr>
      <w:r>
        <w:rPr>
          <w:color w:val="1F3B63"/>
        </w:rPr>
        <w:t>2. Estructura estándar de un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Bloque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824"/>
          </w:tcPr>
          <w:p>
            <w:r/>
            <w:r>
              <w:t>Objetivo y alcance</w:t>
            </w:r>
          </w:p>
        </w:tc>
        <w:tc>
          <w:tcPr>
            <w:tcW w:type="dxa" w:w="4824"/>
          </w:tcPr>
          <w:p>
            <w:r/>
            <w:r>
              <w:t>Para qué sirve y a qué activos/servicios aplica</w:t>
            </w:r>
          </w:p>
        </w:tc>
      </w:tr>
      <w:tr>
        <w:tc>
          <w:tcPr>
            <w:tcW w:type="dxa" w:w="4824"/>
          </w:tcPr>
          <w:p>
            <w:r/>
            <w:r>
              <w:t>Entradas</w:t>
            </w:r>
          </w:p>
        </w:tc>
        <w:tc>
          <w:tcPr>
            <w:tcW w:type="dxa" w:w="4824"/>
          </w:tcPr>
          <w:p>
            <w:r/>
            <w:r>
              <w:t>Documentos, datos o señales que disparan el proceso (ej. reporte de escaneo, alerta SIEM)</w:t>
            </w:r>
          </w:p>
        </w:tc>
      </w:tr>
      <w:tr>
        <w:tc>
          <w:tcPr>
            <w:tcW w:type="dxa" w:w="4824"/>
          </w:tcPr>
          <w:p>
            <w:r/>
            <w:r>
              <w:t>Actividades numeradas</w:t>
            </w:r>
          </w:p>
        </w:tc>
        <w:tc>
          <w:tcPr>
            <w:tcW w:type="dxa" w:w="4824"/>
          </w:tcPr>
          <w:p>
            <w:r/>
            <w:r>
              <w:t>Pasos 1..N, cada uno con responsable y plazo</w:t>
            </w:r>
          </w:p>
        </w:tc>
      </w:tr>
      <w:tr>
        <w:tc>
          <w:tcPr>
            <w:tcW w:type="dxa" w:w="4824"/>
          </w:tcPr>
          <w:p>
            <w:r/>
            <w:r>
              <w:t>Salidas</w:t>
            </w:r>
          </w:p>
        </w:tc>
        <w:tc>
          <w:tcPr>
            <w:tcW w:type="dxa" w:w="4824"/>
          </w:tcPr>
          <w:p>
            <w:r/>
            <w:r>
              <w:t>Entregables que produce (ej. informe de parcheo, ticket cerrado)</w:t>
            </w:r>
          </w:p>
        </w:tc>
      </w:tr>
      <w:tr>
        <w:tc>
          <w:tcPr>
            <w:tcW w:type="dxa" w:w="4824"/>
          </w:tcPr>
          <w:p>
            <w:r/>
            <w:r>
              <w:t>Responsables</w:t>
            </w:r>
          </w:p>
        </w:tc>
        <w:tc>
          <w:tcPr>
            <w:tcW w:type="dxa" w:w="4824"/>
          </w:tcPr>
          <w:p>
            <w:r/>
            <w:r>
              <w:t>Rol que ejecuta, rol que aprueba, rol que audita</w:t>
            </w:r>
          </w:p>
        </w:tc>
      </w:tr>
      <w:tr>
        <w:tc>
          <w:tcPr>
            <w:tcW w:type="dxa" w:w="4824"/>
          </w:tcPr>
          <w:p>
            <w:r/>
            <w:r>
              <w:t>Indicadores (KPIs)</w:t>
            </w:r>
          </w:p>
        </w:tc>
        <w:tc>
          <w:tcPr>
            <w:tcW w:type="dxa" w:w="4824"/>
          </w:tcPr>
          <w:p>
            <w:r/>
            <w:r>
              <w:t>Cómo se mide que el proceso funciona</w:t>
            </w:r>
          </w:p>
        </w:tc>
      </w:tr>
      <w:tr>
        <w:tc>
          <w:tcPr>
            <w:tcW w:type="dxa" w:w="4824"/>
          </w:tcPr>
          <w:p>
            <w:r/>
            <w:r>
              <w:t>Referencias</w:t>
            </w:r>
          </w:p>
        </w:tc>
        <w:tc>
          <w:tcPr>
            <w:tcW w:type="dxa" w:w="4824"/>
          </w:tcPr>
          <w:p>
            <w:r/>
            <w:r>
              <w:t>Políticas y documentos relacionados</w:t>
            </w:r>
          </w:p>
        </w:tc>
      </w:tr>
      <w:tr>
        <w:tc>
          <w:tcPr>
            <w:tcW w:type="dxa" w:w="4824"/>
          </w:tcPr>
          <w:p>
            <w:r/>
            <w:r>
              <w:t>Registros</w:t>
            </w:r>
          </w:p>
        </w:tc>
        <w:tc>
          <w:tcPr>
            <w:tcW w:type="dxa" w:w="4824"/>
          </w:tcPr>
          <w:p>
            <w:r/>
            <w:r>
              <w:t>Evidencia que queda documentada (logs, tickets, actas)</w:t>
            </w:r>
          </w:p>
        </w:tc>
      </w:tr>
    </w:tbl>
    <w:p>
      <w:pPr>
        <w:pStyle w:val="Heading2"/>
      </w:pPr>
      <w:r>
        <w:rPr>
          <w:color w:val="1F3B63"/>
        </w:rPr>
        <w:t>3. Cómo escribir cada actividad</w:t>
      </w:r>
    </w:p>
    <w:p>
      <w:r>
        <w:t>Formato de una actividad dentro del proceso:</w:t>
      </w:r>
    </w:p>
    <w:p>
      <w:pPr>
        <w:ind w:left="432"/>
      </w:pPr>
      <w:r>
        <w:rPr>
          <w:i/>
          <w:color w:val="606060"/>
        </w:rPr>
        <w:t>**1.3 — Verificar parcheo en el activo afectado.**</w:t>
      </w:r>
    </w:p>
    <w:p>
      <w:pPr>
        <w:ind w:left="432"/>
      </w:pPr>
      <w:r>
        <w:rPr>
          <w:i/>
          <w:color w:val="606060"/>
        </w:rPr>
        <w:t>- **Responsable:** Administrador de Sistemas.</w:t>
      </w:r>
    </w:p>
    <w:p>
      <w:pPr>
        <w:ind w:left="432"/>
      </w:pPr>
      <w:r>
        <w:rPr>
          <w:i/>
          <w:color w:val="606060"/>
        </w:rPr>
        <w:t>- **Entrada:** ticket de parcheo con CVE y activo.</w:t>
      </w:r>
    </w:p>
    <w:p>
      <w:pPr>
        <w:ind w:left="432"/>
      </w:pPr>
      <w:r>
        <w:rPr>
          <w:i/>
          <w:color w:val="606060"/>
        </w:rPr>
        <w:t>- **Pasos:** (a) validar que el parche está instalado, (b) ejecutar un escaneo puntual del activo, (c) registrar el resultado en el ticket.</w:t>
      </w:r>
    </w:p>
    <w:p>
      <w:pPr>
        <w:ind w:left="432"/>
      </w:pPr>
      <w:r>
        <w:rPr>
          <w:i/>
          <w:color w:val="606060"/>
        </w:rPr>
        <w:t>- **Salida:** ticket cerrado con evidencia de escaneo.</w:t>
      </w:r>
    </w:p>
    <w:p>
      <w:pPr>
        <w:ind w:left="432"/>
      </w:pPr>
      <w:r>
        <w:rPr>
          <w:i/>
          <w:color w:val="606060"/>
        </w:rPr>
        <w:t>- **Plazo:** dentro de las 24 h posteriores a la aplicación.</w:t>
      </w:r>
    </w:p>
    <w:p>
      <w:pPr>
        <w:pStyle w:val="Heading2"/>
      </w:pPr>
      <w:r>
        <w:rPr>
          <w:color w:val="1F3B63"/>
        </w:rPr>
        <w:t>4. Ejemplo completo resumido</w:t>
      </w:r>
    </w:p>
    <w:p>
      <w:r>
        <w:rPr>
          <w:b/>
        </w:rPr>
        <w:t>Proceso: Gestión de vulnerabilidades críticas (complementa PR-06)</w:t>
      </w:r>
    </w:p>
    <w:p>
      <w:pPr>
        <w:pStyle w:val="ListNumber"/>
      </w:pPr>
      <w:r>
        <w:t xml:space="preserve">Detectar hallazgo crítico (escaneo mensual, alerta CERTuy, aviso de proveedor). — </w:t>
      </w:r>
      <w:r>
        <w:rPr>
          <w:i/>
        </w:rPr>
        <w:t>RSI/Operaciones de Seguridad</w:t>
      </w:r>
    </w:p>
    <w:p>
      <w:pPr>
        <w:pStyle w:val="ListNumber"/>
      </w:pPr>
      <w:r>
        <w:t xml:space="preserve">Confirmar la vulnerabilidad y el activo afectado (cruzando con ID-01). — </w:t>
      </w:r>
      <w:r>
        <w:rPr>
          <w:i/>
        </w:rPr>
        <w:t>Operaciones de Seguridad</w:t>
      </w:r>
    </w:p>
    <w:p>
      <w:pPr>
        <w:pStyle w:val="ListNumber"/>
      </w:pPr>
      <w:r>
        <w:t xml:space="preserve">Priorizar: CVSS + contexto (exposición, datos, exploit activo). — </w:t>
      </w:r>
      <w:r>
        <w:rPr>
          <w:i/>
        </w:rPr>
        <w:t>RSI</w:t>
      </w:r>
    </w:p>
    <w:p>
      <w:pPr>
        <w:pStyle w:val="ListNumber"/>
      </w:pPr>
      <w:r>
        <w:t xml:space="preserve">Elegir tratamiento: parchear / mitigación temporal / excepción. — </w:t>
      </w:r>
      <w:r>
        <w:rPr>
          <w:i/>
        </w:rPr>
        <w:t>RSI + Jefe de Riesgos</w:t>
      </w:r>
    </w:p>
    <w:p>
      <w:pPr>
        <w:pStyle w:val="ListNumber"/>
      </w:pPr>
      <w:r>
        <w:t xml:space="preserve">Aplicar el parche en ventana (o mitigación inmediata). — </w:t>
      </w:r>
      <w:r>
        <w:rPr>
          <w:i/>
        </w:rPr>
        <w:t>Administrador de Sistemas</w:t>
      </w:r>
    </w:p>
    <w:p>
      <w:pPr>
        <w:pStyle w:val="ListNumber"/>
      </w:pPr>
      <w:r>
        <w:t xml:space="preserve">Verificar (escaneo puntual + prueba de servicio). — </w:t>
      </w:r>
      <w:r>
        <w:rPr>
          <w:i/>
        </w:rPr>
        <w:t>Administrador de Sistemas</w:t>
      </w:r>
    </w:p>
    <w:p>
      <w:pPr>
        <w:pStyle w:val="ListNumber"/>
      </w:pPr>
      <w:r>
        <w:t xml:space="preserve">Registrar y medir (ticket, KPI, revisión mensual). — </w:t>
      </w:r>
      <w:r>
        <w:rPr>
          <w:i/>
        </w:rPr>
        <w:t>RSI</w:t>
      </w:r>
    </w:p>
    <w:p>
      <w:pPr>
        <w:pStyle w:val="Heading2"/>
      </w:pPr>
      <w:r>
        <w:rPr>
          <w:color w:val="1F3B63"/>
        </w:rPr>
        <w:t>5. Errores comunes al redactar procesos</w:t>
      </w:r>
    </w:p>
    <w:p>
      <w:pPr>
        <w:pStyle w:val="ListBullet"/>
      </w:pPr>
      <w:r>
        <w:t>❌ Sin responsables explícitos → nadie es dueño.</w:t>
      </w:r>
    </w:p>
    <w:p>
      <w:pPr>
        <w:pStyle w:val="ListBullet"/>
      </w:pPr>
      <w:r>
        <w:t>❌ Sin plazos → nunca es "urgente".</w:t>
      </w:r>
    </w:p>
    <w:p>
      <w:pPr>
        <w:pStyle w:val="ListBullet"/>
      </w:pPr>
      <w:r>
        <w:t>❌ Sin salidas/registros → no hay evidencia para el auditor.</w:t>
      </w:r>
    </w:p>
    <w:p>
      <w:pPr>
        <w:pStyle w:val="ListBullet"/>
      </w:pPr>
      <w:r>
        <w:t>❌ Sin indicadores → no se sabe si funciona.</w:t>
      </w:r>
    </w:p>
    <w:p>
      <w:pPr>
        <w:pStyle w:val="ListBullet"/>
      </w:pPr>
      <w:r>
        <w:t>❌ Confundir proceso con procedimiento (el procedimiento es más detallado: pasos a nivel de pantalla/comando).</w:t>
      </w:r>
    </w:p>
    <w:p>
      <w:pPr>
        <w:pStyle w:val="Heading2"/>
      </w:pPr>
      <w:r>
        <w:rPr>
          <w:color w:val="1F3B63"/>
        </w:rPr>
        <w:t>6. Cómo se evidencian los procesos en 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en el kit</w:t>
            </w:r>
          </w:p>
        </w:tc>
      </w:tr>
      <w:tr>
        <w:tc>
          <w:tcPr>
            <w:tcW w:type="dxa" w:w="4824"/>
          </w:tcPr>
          <w:p>
            <w:r/>
            <w:r>
              <w:t>Gestión de vulnerabilidades</w:t>
            </w:r>
          </w:p>
        </w:tc>
        <w:tc>
          <w:tcPr>
            <w:tcW w:type="dxa" w:w="4824"/>
          </w:tcPr>
          <w:p>
            <w:r/>
            <w:r>
              <w:t>PR-06 (política) + registros de OpenVAS/Trivy + tickets</w:t>
            </w:r>
          </w:p>
        </w:tc>
      </w:tr>
      <w:tr>
        <w:tc>
          <w:tcPr>
            <w:tcW w:type="dxa" w:w="4824"/>
          </w:tcPr>
          <w:p>
            <w:r/>
            <w:r>
              <w:t>Gestión de incidentes</w:t>
            </w:r>
          </w:p>
        </w:tc>
        <w:tc>
          <w:tcPr>
            <w:tcW w:type="dxa" w:w="4824"/>
          </w:tcPr>
          <w:p>
            <w:r/>
            <w:r>
              <w:t>RS-01, DE-01, DE-02 + alertas del SIEM (Wazuh)</w:t>
            </w:r>
          </w:p>
        </w:tc>
      </w:tr>
      <w:tr>
        <w:tc>
          <w:tcPr>
            <w:tcW w:type="dxa" w:w="4824"/>
          </w:tcPr>
          <w:p>
            <w:r/>
            <w:r>
              <w:t>Gestión de accesos</w:t>
            </w:r>
          </w:p>
        </w:tc>
        <w:tc>
          <w:tcPr>
            <w:tcW w:type="dxa" w:w="4824"/>
          </w:tcPr>
          <w:p>
            <w:r/>
            <w:r>
              <w:t>PR-01 + solicitudes/aprobaciones + revisión de cuentas</w:t>
            </w:r>
          </w:p>
        </w:tc>
      </w:tr>
      <w:tr>
        <w:tc>
          <w:tcPr>
            <w:tcW w:type="dxa" w:w="4824"/>
          </w:tcPr>
          <w:p>
            <w:r/>
            <w:r>
              <w:t>Respaldos</w:t>
            </w:r>
          </w:p>
        </w:tc>
        <w:tc>
          <w:tcPr>
            <w:tcW w:type="dxa" w:w="4824"/>
          </w:tcPr>
          <w:p>
            <w:r/>
            <w:r>
              <w:t>PR-05, RC-02 + logs de backup + pruebas de restauración</w:t>
            </w:r>
          </w:p>
        </w:tc>
      </w:tr>
      <w:tr>
        <w:tc>
          <w:tcPr>
            <w:tcW w:type="dxa" w:w="4824"/>
          </w:tcPr>
          <w:p>
            <w:r/>
            <w:r>
              <w:t>Notificación de vulneraciones</w:t>
            </w:r>
          </w:p>
        </w:tc>
        <w:tc>
          <w:tcPr>
            <w:tcW w:type="dxa" w:w="4824"/>
          </w:tcPr>
          <w:p>
            <w:r/>
            <w:r>
              <w:t>URCDP-02 + registro de incidentes y acta de notificación</w:t>
            </w:r>
          </w:p>
        </w:tc>
      </w:tr>
    </w:tbl>
    <w:p>
      <w:pPr>
        <w:ind w:left="432"/>
      </w:pPr>
      <w:r>
        <w:rPr>
          <w:i/>
          <w:color w:val="606060"/>
        </w:rPr>
        <w:t>**Recuerde:** un proceso que no produce registros es un proceso que no existe a los ojos del auditor.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