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VPOL-05 · Las 15 plantillas ISACA y cómo adaptarlas</w:t>
      </w:r>
    </w:p>
    <w:p>
      <w:pPr>
        <w:ind w:left="432"/>
      </w:pPr>
      <w:r>
        <w:rPr>
          <w:i/>
          <w:color w:val="606060"/>
        </w:rPr>
        <w:t>**Función del MCU 5.0:** Las plantillas de ISACA cubren las funciones de Gobernar y Proteger, y alimentan la evidencia de todas las demás</w:t>
      </w:r>
    </w:p>
    <w:p>
      <w:pPr>
        <w:ind w:left="432"/>
      </w:pPr>
      <w:r>
        <w:rPr>
          <w:i/>
          <w:color w:val="606060"/>
        </w:rPr>
        <w:t>**ISO/IEC 27001:** Cada plantilla se vincula a controles del Anexo A</w:t>
      </w:r>
    </w:p>
    <w:p>
      <w:pPr>
        <w:ind w:left="432"/>
      </w:pPr>
      <w:r>
        <w:rPr>
          <w:i/>
          <w:color w:val="606060"/>
        </w:rPr>
        <w:t>**BCU:** Los EMG requieren políticas formalizadas para el riesgo tecnológico</w:t>
      </w:r>
    </w:p>
    <w:p>
      <w:pPr>
        <w:ind w:left="432"/>
      </w:pPr>
      <w:r>
        <w:rPr>
          <w:i/>
          <w:color w:val="606060"/>
        </w:rPr>
        <w:t>**URCDP:** Las plantillas deben completarse contemplando la Ley 18.331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Qué son estas plantillas</w:t>
      </w:r>
    </w:p>
    <w:p>
      <w:r>
        <w:t xml:space="preserve">ISACA publica un </w:t>
      </w:r>
      <w:r>
        <w:rPr>
          <w:b/>
        </w:rPr>
        <w:t>kit de plantillas de políticas de seguridad</w:t>
      </w:r>
      <w:r>
        <w:t xml:space="preserve"> (ISACA Policy Template Package) que sirve como punto de partida profesional para armar el cuerpo normativo de un SGSI. Este curso incluye las </w:t>
      </w:r>
      <w:r>
        <w:rPr>
          <w:b/>
        </w:rPr>
        <w:t>15 plantillas</w:t>
      </w:r>
      <w:r>
        <w:t>, adaptadas a:</w:t>
      </w:r>
    </w:p>
    <w:p>
      <w:pPr>
        <w:pStyle w:val="ListBullet"/>
      </w:pPr>
      <w:r>
        <w:t xml:space="preserve">El </w:t>
      </w:r>
      <w:r>
        <w:rPr>
          <w:b/>
        </w:rPr>
        <w:t>contexto uruguayo</w:t>
      </w:r>
      <w:r>
        <w:t>: Agesic (MCU 5.0, CERTuy), BCU (EMG, sistema de pagos), URCDP (Ley 18.331).</w:t>
      </w:r>
    </w:p>
    <w:p>
      <w:pPr>
        <w:pStyle w:val="ListBullet"/>
      </w:pPr>
      <w:r>
        <w:t xml:space="preserve">El </w:t>
      </w:r>
      <w:r>
        <w:rPr>
          <w:b/>
        </w:rPr>
        <w:t>Banco Ficticio del Uruguay</w:t>
      </w:r>
      <w:r>
        <w:t xml:space="preserve"> y su estructura (RSI, DPD, Comité de Seguridad, Div. TI, Seguridad Física).</w:t>
      </w:r>
    </w:p>
    <w:p>
      <w:pPr>
        <w:pStyle w:val="ListBullet"/>
      </w:pPr>
      <w:r>
        <w:t xml:space="preserve">El </w:t>
      </w:r>
      <w:r>
        <w:rPr>
          <w:b/>
        </w:rPr>
        <w:t>kit Banco-Inicia</w:t>
      </w:r>
      <w:r>
        <w:t xml:space="preserve"> (</w:t>
      </w:r>
      <w:r>
        <w:rPr>
          <w:rFonts w:ascii="Consolas" w:hAnsi="Consolas"/>
          <w:sz w:val="20"/>
        </w:rPr>
        <w:t>02-ENTREGABLES/</w:t>
      </w:r>
      <w:r>
        <w:t xml:space="preserve">, </w:t>
      </w:r>
      <w:r>
        <w:rPr>
          <w:rFonts w:ascii="Consolas" w:hAnsi="Consolas"/>
          <w:sz w:val="20"/>
        </w:rPr>
        <w:t>03-HERRAMIENTAS/canonicos.txt</w:t>
      </w:r>
      <w:r>
        <w:t>): cada plantilla indica qué documento canónico del kit la respalda.</w:t>
      </w:r>
    </w:p>
    <w:p>
      <w:pPr>
        <w:pStyle w:val="Heading2"/>
      </w:pPr>
      <w:r>
        <w:rPr>
          <w:color w:val="1F3B63"/>
        </w:rPr>
        <w:t>2. Las 15 plantillas y su equivalencia con 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Nº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Plantilla ISACA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Archivo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Documento del kit equivalente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Acceptable Use (Company Systems)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01-Acceptable-Use-Company-Systems.md</w:t>
            </w:r>
          </w:p>
        </w:tc>
        <w:tc>
          <w:tcPr>
            <w:tcW w:type="dxa" w:w="2412"/>
          </w:tcPr>
          <w:p>
            <w:r/>
            <w:r>
              <w:t>GV-01, PR-01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AI Acceptable Use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02-AI-Acceptable-Use.md</w:t>
            </w:r>
          </w:p>
        </w:tc>
        <w:tc>
          <w:tcPr>
            <w:tcW w:type="dxa" w:w="2412"/>
          </w:tcPr>
          <w:p>
            <w:r/>
            <w:r>
              <w:t>GV-01, PR-02, GV-04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Change Management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03-Change-Management.md</w:t>
            </w:r>
          </w:p>
        </w:tc>
        <w:tc>
          <w:tcPr>
            <w:tcW w:type="dxa" w:w="2412"/>
          </w:tcPr>
          <w:p>
            <w:r/>
            <w:r>
              <w:t>PR-07, BCU-04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t>Clear Desk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04-Clear-Desk.md</w:t>
            </w:r>
          </w:p>
        </w:tc>
        <w:tc>
          <w:tcPr>
            <w:tcW w:type="dxa" w:w="2412"/>
          </w:tcPr>
          <w:p>
            <w:r/>
            <w:r>
              <w:t>PR-04, PR-03</w:t>
            </w:r>
          </w:p>
        </w:tc>
      </w:tr>
      <w:tr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  <w:r>
              <w:t>Cloud Computing Services Usage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05-Cloud-Computing-Services-Usage.md</w:t>
            </w:r>
          </w:p>
        </w:tc>
        <w:tc>
          <w:tcPr>
            <w:tcW w:type="dxa" w:w="2412"/>
          </w:tcPr>
          <w:p>
            <w:r/>
            <w:r>
              <w:t>GV-05, PR-03, PR-08</w:t>
            </w:r>
          </w:p>
        </w:tc>
      </w:tr>
      <w:tr>
        <w:tc>
          <w:tcPr>
            <w:tcW w:type="dxa" w:w="2412"/>
          </w:tcPr>
          <w:p>
            <w:r/>
            <w:r>
              <w:t>6</w:t>
            </w:r>
          </w:p>
        </w:tc>
        <w:tc>
          <w:tcPr>
            <w:tcW w:type="dxa" w:w="2412"/>
          </w:tcPr>
          <w:p>
            <w:r/>
            <w:r>
              <w:t>Data Backup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06-Data-Backup.md</w:t>
            </w:r>
          </w:p>
        </w:tc>
        <w:tc>
          <w:tcPr>
            <w:tcW w:type="dxa" w:w="2412"/>
          </w:tcPr>
          <w:p>
            <w:r/>
            <w:r>
              <w:t>PR-05, RC-02</w:t>
            </w:r>
          </w:p>
        </w:tc>
      </w:tr>
      <w:tr>
        <w:tc>
          <w:tcPr>
            <w:tcW w:type="dxa" w:w="2412"/>
          </w:tcPr>
          <w:p>
            <w:r/>
            <w:r>
              <w:t>7</w:t>
            </w:r>
          </w:p>
        </w:tc>
        <w:tc>
          <w:tcPr>
            <w:tcW w:type="dxa" w:w="2412"/>
          </w:tcPr>
          <w:p>
            <w:r/>
            <w:r>
              <w:t>Information Classification and Protection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07-Information-Classification-and-Protection.md</w:t>
            </w:r>
          </w:p>
        </w:tc>
        <w:tc>
          <w:tcPr>
            <w:tcW w:type="dxa" w:w="2412"/>
          </w:tcPr>
          <w:p>
            <w:r/>
            <w:r>
              <w:t>ID-01, PR-03, URCDP-01</w:t>
            </w:r>
          </w:p>
        </w:tc>
      </w:tr>
      <w:tr>
        <w:tc>
          <w:tcPr>
            <w:tcW w:type="dxa" w:w="2412"/>
          </w:tcPr>
          <w:p>
            <w:r/>
            <w:r>
              <w:t>8</w:t>
            </w:r>
          </w:p>
        </w:tc>
        <w:tc>
          <w:tcPr>
            <w:tcW w:type="dxa" w:w="2412"/>
          </w:tcPr>
          <w:p>
            <w:r/>
            <w:r>
              <w:t>Information Security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08-Information-Security.md</w:t>
            </w:r>
          </w:p>
        </w:tc>
        <w:tc>
          <w:tcPr>
            <w:tcW w:type="dxa" w:w="2412"/>
          </w:tcPr>
          <w:p>
            <w:r/>
            <w:r>
              <w:t>GV-01, BCU-01</w:t>
            </w:r>
          </w:p>
        </w:tc>
      </w:tr>
      <w:tr>
        <w:tc>
          <w:tcPr>
            <w:tcW w:type="dxa" w:w="2412"/>
          </w:tcPr>
          <w:p>
            <w:r/>
            <w:r>
              <w:t>9</w:t>
            </w:r>
          </w:p>
        </w:tc>
        <w:tc>
          <w:tcPr>
            <w:tcW w:type="dxa" w:w="2412"/>
          </w:tcPr>
          <w:p>
            <w:r/>
            <w:r>
              <w:t>Logging and Monitoring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09-Logging-and-Monitoring.md</w:t>
            </w:r>
          </w:p>
        </w:tc>
        <w:tc>
          <w:tcPr>
            <w:tcW w:type="dxa" w:w="2412"/>
          </w:tcPr>
          <w:p>
            <w:r/>
            <w:r>
              <w:t>DE-01, DE-02</w:t>
            </w:r>
          </w:p>
        </w:tc>
      </w:tr>
      <w:tr>
        <w:tc>
          <w:tcPr>
            <w:tcW w:type="dxa" w:w="2412"/>
          </w:tcPr>
          <w:p>
            <w:r/>
            <w:r>
              <w:t>10</w:t>
            </w:r>
          </w:p>
        </w:tc>
        <w:tc>
          <w:tcPr>
            <w:tcW w:type="dxa" w:w="2412"/>
          </w:tcPr>
          <w:p>
            <w:r/>
            <w:r>
              <w:t>Network Security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10-Network-Security.md</w:t>
            </w:r>
          </w:p>
        </w:tc>
        <w:tc>
          <w:tcPr>
            <w:tcW w:type="dxa" w:w="2412"/>
          </w:tcPr>
          <w:p>
            <w:r/>
            <w:r>
              <w:t>PR-06, BCU-01, DMZ</w:t>
            </w:r>
          </w:p>
        </w:tc>
      </w:tr>
      <w:tr>
        <w:tc>
          <w:tcPr>
            <w:tcW w:type="dxa" w:w="2412"/>
          </w:tcPr>
          <w:p>
            <w:r/>
            <w:r>
              <w:t>11</w:t>
            </w:r>
          </w:p>
        </w:tc>
        <w:tc>
          <w:tcPr>
            <w:tcW w:type="dxa" w:w="2412"/>
          </w:tcPr>
          <w:p>
            <w:r/>
            <w:r>
              <w:t>Personnel Security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11-Personnel-Security.md</w:t>
            </w:r>
          </w:p>
        </w:tc>
        <w:tc>
          <w:tcPr>
            <w:tcW w:type="dxa" w:w="2412"/>
          </w:tcPr>
          <w:p>
            <w:r/>
            <w:r>
              <w:t>PR-02, PR-08</w:t>
            </w:r>
          </w:p>
        </w:tc>
      </w:tr>
      <w:tr>
        <w:tc>
          <w:tcPr>
            <w:tcW w:type="dxa" w:w="2412"/>
          </w:tcPr>
          <w:p>
            <w:r/>
            <w:r>
              <w:t>12</w:t>
            </w:r>
          </w:p>
        </w:tc>
        <w:tc>
          <w:tcPr>
            <w:tcW w:type="dxa" w:w="2412"/>
          </w:tcPr>
          <w:p>
            <w:r/>
            <w:r>
              <w:t>Removable Media Handling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12-Removable-Media-Handling.md</w:t>
            </w:r>
          </w:p>
        </w:tc>
        <w:tc>
          <w:tcPr>
            <w:tcW w:type="dxa" w:w="2412"/>
          </w:tcPr>
          <w:p>
            <w:r/>
            <w:r>
              <w:t>PR-03, PR-04</w:t>
            </w:r>
          </w:p>
        </w:tc>
      </w:tr>
      <w:tr>
        <w:tc>
          <w:tcPr>
            <w:tcW w:type="dxa" w:w="2412"/>
          </w:tcPr>
          <w:p>
            <w:r/>
            <w:r>
              <w:t>13</w:t>
            </w:r>
          </w:p>
        </w:tc>
        <w:tc>
          <w:tcPr>
            <w:tcW w:type="dxa" w:w="2412"/>
          </w:tcPr>
          <w:p>
            <w:r/>
            <w:r>
              <w:t>Third-Party Management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13-Third-Party-Management.md</w:t>
            </w:r>
          </w:p>
        </w:tc>
        <w:tc>
          <w:tcPr>
            <w:tcW w:type="dxa" w:w="2412"/>
          </w:tcPr>
          <w:p>
            <w:r/>
            <w:r>
              <w:t>GV-05, PR-08</w:t>
            </w:r>
          </w:p>
        </w:tc>
      </w:tr>
      <w:tr>
        <w:tc>
          <w:tcPr>
            <w:tcW w:type="dxa" w:w="2412"/>
          </w:tcPr>
          <w:p>
            <w:r/>
            <w:r>
              <w:t>14</w:t>
            </w:r>
          </w:p>
        </w:tc>
        <w:tc>
          <w:tcPr>
            <w:tcW w:type="dxa" w:w="2412"/>
          </w:tcPr>
          <w:p>
            <w:r/>
            <w:r>
              <w:t>User Access Management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14-User-Access-Management.md</w:t>
            </w:r>
          </w:p>
        </w:tc>
        <w:tc>
          <w:tcPr>
            <w:tcW w:type="dxa" w:w="2412"/>
          </w:tcPr>
          <w:p>
            <w:r/>
            <w:r>
              <w:t>PR-01, PR-03</w:t>
            </w:r>
          </w:p>
        </w:tc>
      </w:tr>
      <w:tr>
        <w:tc>
          <w:tcPr>
            <w:tcW w:type="dxa" w:w="2412"/>
          </w:tcPr>
          <w:p>
            <w:r/>
            <w:r>
              <w:t>15</w:t>
            </w:r>
          </w:p>
        </w:tc>
        <w:tc>
          <w:tcPr>
            <w:tcW w:type="dxa" w:w="2412"/>
          </w:tcPr>
          <w:p>
            <w:r/>
            <w:r>
              <w:t>Vulnerability Management Policy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20"/>
              </w:rPr>
              <w:t>15-Vulnerability-Management.md</w:t>
            </w:r>
          </w:p>
        </w:tc>
        <w:tc>
          <w:tcPr>
            <w:tcW w:type="dxa" w:w="2412"/>
          </w:tcPr>
          <w:p>
            <w:r/>
            <w:r>
              <w:t>PR-06, DE-01</w:t>
            </w:r>
          </w:p>
        </w:tc>
      </w:tr>
    </w:tbl>
    <w:p>
      <w:pPr>
        <w:pStyle w:val="Heading2"/>
      </w:pPr>
      <w:r>
        <w:rPr>
          <w:color w:val="1F3B63"/>
        </w:rPr>
        <w:t>3. Metodología de adaptación (mismo proceso para todas)</w:t>
      </w:r>
    </w:p>
    <w:p>
      <w:pPr>
        <w:pStyle w:val="ListNumber"/>
      </w:pPr>
      <w:r>
        <w:t xml:space="preserve">Abrí la plantilla </w:t>
      </w:r>
      <w:r>
        <w:rPr>
          <w:rFonts w:ascii="Consolas" w:hAnsi="Consolas"/>
          <w:sz w:val="20"/>
        </w:rPr>
        <w:t>.md</w:t>
      </w:r>
      <w:r>
        <w:t xml:space="preserve"> en </w:t>
      </w:r>
      <w:r>
        <w:rPr>
          <w:rFonts w:ascii="Consolas" w:hAnsi="Consolas"/>
          <w:sz w:val="20"/>
        </w:rPr>
        <w:t>templates-ISACA/</w:t>
      </w:r>
      <w:r>
        <w:t>.</w:t>
      </w:r>
    </w:p>
    <w:p>
      <w:pPr>
        <w:pStyle w:val="ListNumber"/>
      </w:pPr>
      <w:r>
        <w:t xml:space="preserve">Completá el </w:t>
      </w:r>
      <w:r>
        <w:rPr>
          <w:b/>
        </w:rPr>
        <w:t>encabezado</w:t>
      </w:r>
      <w:r>
        <w:t xml:space="preserve"> (código VPOL-NN, versión 1.0, estado, fecha).</w:t>
      </w:r>
    </w:p>
    <w:p>
      <w:pPr>
        <w:pStyle w:val="ListNumber"/>
      </w:pPr>
      <w:r>
        <w:t xml:space="preserve">Ajustá el </w:t>
      </w:r>
      <w:r>
        <w:rPr>
          <w:b/>
        </w:rPr>
        <w:t>alcance</w:t>
      </w:r>
      <w:r>
        <w:t xml:space="preserve"> a la realidad del Banco (áreas, sedes, proveedores, activos).</w:t>
      </w:r>
    </w:p>
    <w:p>
      <w:pPr>
        <w:pStyle w:val="ListNumber"/>
      </w:pPr>
      <w:r>
        <w:t xml:space="preserve">Personalizá cada </w:t>
      </w:r>
      <w:r>
        <w:rPr>
          <w:rFonts w:ascii="Consolas" w:hAnsi="Consolas"/>
          <w:sz w:val="20"/>
        </w:rPr>
        <w:t>[COMPLETAR]</w:t>
      </w:r>
      <w:r>
        <w:t>: plazos, responsables, herramientas, métricas.</w:t>
      </w:r>
    </w:p>
    <w:p>
      <w:pPr>
        <w:pStyle w:val="ListNumber"/>
      </w:pPr>
      <w:r>
        <w:t>Verificá la columna "Evidencia del kit" y generá/adjuntá esa evidencia si corresponde.</w:t>
      </w:r>
    </w:p>
    <w:p>
      <w:pPr>
        <w:pStyle w:val="ListNumber"/>
      </w:pPr>
      <w:r>
        <w:t xml:space="preserve">Someté a </w:t>
      </w:r>
      <w:r>
        <w:rPr>
          <w:b/>
        </w:rPr>
        <w:t>revisión del Comité de Seguridad</w:t>
      </w:r>
      <w:r>
        <w:t xml:space="preserve"> y luego a </w:t>
      </w:r>
      <w:r>
        <w:rPr>
          <w:b/>
        </w:rPr>
        <w:t>aprobación</w:t>
      </w:r>
      <w:r>
        <w:t>.</w:t>
      </w:r>
    </w:p>
    <w:p>
      <w:pPr>
        <w:pStyle w:val="ListNumber"/>
      </w:pPr>
      <w:r>
        <w:t>Publicá en el SGSI y registrá en el control de cambios (GV-06).</w:t>
      </w:r>
    </w:p>
    <w:p>
      <w:pPr>
        <w:pStyle w:val="ListNumber"/>
      </w:pPr>
      <w:r>
        <w:t xml:space="preserve">Regenerá el </w:t>
      </w:r>
      <w:r>
        <w:rPr>
          <w:rFonts w:ascii="Consolas" w:hAnsi="Consolas"/>
          <w:sz w:val="20"/>
        </w:rPr>
        <w:t>.docx</w:t>
      </w:r>
      <w:r>
        <w:t xml:space="preserve"> con </w:t>
      </w:r>
      <w:r>
        <w:rPr>
          <w:rFonts w:ascii="Consolas" w:hAnsi="Consolas"/>
          <w:sz w:val="20"/>
        </w:rPr>
        <w:t>03-HERRAMIENTAS/md_a_docx.py</w:t>
      </w:r>
      <w:r>
        <w:t xml:space="preserve"> para la versión formal.</w:t>
      </w:r>
    </w:p>
    <w:p>
      <w:pPr>
        <w:pStyle w:val="Heading2"/>
      </w:pPr>
      <w:r>
        <w:rPr>
          <w:color w:val="1F3B63"/>
        </w:rPr>
        <w:t>4. Prioridad de implementación sugerida</w:t>
      </w:r>
    </w:p>
    <w:p>
      <w:r>
        <w:t>Si se empieza desde cero, este orden cubre lo esencial primero:</w:t>
      </w:r>
    </w:p>
    <w:p>
      <w:pPr>
        <w:pStyle w:val="ListNumber"/>
      </w:pPr>
      <w:r>
        <w:rPr>
          <w:b/>
        </w:rPr>
        <w:t>Information Security Policy</w:t>
      </w:r>
      <w:r>
        <w:t xml:space="preserve"> (08) — la política madre.</w:t>
      </w:r>
    </w:p>
    <w:p>
      <w:pPr>
        <w:pStyle w:val="ListNumber"/>
      </w:pPr>
      <w:r>
        <w:rPr>
          <w:b/>
        </w:rPr>
        <w:t>User Access Management</w:t>
      </w:r>
      <w:r>
        <w:t xml:space="preserve"> (14) — accesos, el riesgo más frecuente.</w:t>
      </w:r>
    </w:p>
    <w:p>
      <w:pPr>
        <w:pStyle w:val="ListNumber"/>
      </w:pPr>
      <w:r>
        <w:rPr>
          <w:b/>
        </w:rPr>
        <w:t>Vulnerability Management</w:t>
      </w:r>
      <w:r>
        <w:t xml:space="preserve"> (15) — el foco del curso.</w:t>
      </w:r>
    </w:p>
    <w:p>
      <w:pPr>
        <w:pStyle w:val="ListNumber"/>
      </w:pPr>
      <w:r>
        <w:rPr>
          <w:b/>
        </w:rPr>
        <w:t>Acceptable Use</w:t>
      </w:r>
      <w:r>
        <w:t xml:space="preserve"> (01) — uso aceptable de los sistemas.</w:t>
      </w:r>
    </w:p>
    <w:p>
      <w:pPr>
        <w:pStyle w:val="ListNumber"/>
      </w:pPr>
      <w:r>
        <w:rPr>
          <w:b/>
        </w:rPr>
        <w:t>Change Management</w:t>
      </w:r>
      <w:r>
        <w:t xml:space="preserve"> (03) — estabilidad y trazabilidad de cambios.</w:t>
      </w:r>
    </w:p>
    <w:p>
      <w:pPr>
        <w:pStyle w:val="ListNumber"/>
      </w:pPr>
      <w:r>
        <w:rPr>
          <w:b/>
        </w:rPr>
        <w:t>Data Backup</w:t>
      </w:r>
      <w:r>
        <w:t xml:space="preserve"> (06) — continuidad.</w:t>
      </w:r>
    </w:p>
    <w:p>
      <w:pPr>
        <w:pStyle w:val="ListNumber"/>
      </w:pPr>
      <w:r>
        <w:rPr>
          <w:b/>
        </w:rPr>
        <w:t>Logging and Monitoring</w:t>
      </w:r>
      <w:r>
        <w:t xml:space="preserve"> (09) — detectar.</w:t>
      </w:r>
    </w:p>
    <w:p>
      <w:pPr>
        <w:pStyle w:val="ListNumber"/>
      </w:pPr>
      <w:r>
        <w:t>El resto según el plan de tratamiento de riesgos.</w:t>
      </w:r>
    </w:p>
    <w:p>
      <w:pPr>
        <w:pStyle w:val="Heading2"/>
      </w:pPr>
      <w:r>
        <w:rPr>
          <w:color w:val="1F3B63"/>
        </w:rPr>
        <w:t>5. Formato interno de cada plantilla</w:t>
      </w:r>
    </w:p>
    <w:p>
      <w:r>
        <w:t xml:space="preserve">Cada plantilla comparte la misma estructura que los documentos de </w:t>
      </w:r>
      <w:r>
        <w:rPr>
          <w:rFonts w:ascii="Consolas" w:hAnsi="Consolas"/>
          <w:sz w:val="20"/>
        </w:rPr>
        <w:t>02-ENTREGABLES/</w:t>
      </w:r>
      <w:r>
        <w:t>:</w:t>
      </w:r>
    </w:p>
    <w:p>
      <w:pPr>
        <w:pStyle w:val="ListBullet"/>
      </w:pPr>
      <w:r>
        <w:rPr>
          <w:b/>
        </w:rPr>
        <w:t>Encabezado</w:t>
      </w:r>
      <w:r>
        <w:t xml:space="preserve"> (código, título, versión, estado).</w:t>
      </w:r>
    </w:p>
    <w:p>
      <w:pPr>
        <w:pStyle w:val="ListBullet"/>
      </w:pPr>
      <w:r>
        <w:rPr>
          <w:b/>
        </w:rPr>
        <w:t>Marco de referencia</w:t>
      </w:r>
      <w:r>
        <w:t xml:space="preserve"> (Agesic / ISO 27001 / BCU / URCDP).</w:t>
      </w:r>
    </w:p>
    <w:p>
      <w:pPr>
        <w:pStyle w:val="ListBullet"/>
      </w:pPr>
      <w:r>
        <w:rPr>
          <w:b/>
        </w:rPr>
        <w:t>Secciones normativas</w:t>
      </w:r>
      <w:r>
        <w:t xml:space="preserve"> (objetivo, alcance, roles, reglas) con </w:t>
      </w:r>
      <w:r>
        <w:rPr>
          <w:rFonts w:ascii="Consolas" w:hAnsi="Consolas"/>
          <w:sz w:val="20"/>
        </w:rPr>
        <w:t>[COMPLETAR]</w:t>
      </w:r>
      <w:r>
        <w:t>.</w:t>
      </w:r>
    </w:p>
    <w:p>
      <w:pPr>
        <w:pStyle w:val="ListBullet"/>
      </w:pPr>
      <w:r>
        <w:rPr>
          <w:b/>
        </w:rPr>
        <w:t>Cumplimiento, excepciones y revisión</w:t>
      </w:r>
      <w:r>
        <w:t>.</w:t>
      </w:r>
    </w:p>
    <w:p>
      <w:pPr>
        <w:pStyle w:val="ListBullet"/>
      </w:pPr>
      <w:r>
        <w:rPr>
          <w:b/>
        </w:rPr>
        <w:t>Evidencia del kit</w:t>
      </w:r>
      <w:r>
        <w:t xml:space="preserve"> (qué documento/s canónico/s la respaldan).</w:t>
      </w:r>
    </w:p>
    <w:p>
      <w:pPr>
        <w:spacing w:before="120" w:after="120"/>
      </w:pPr>
    </w:p>
    <w:p>
      <w:r>
        <w:rPr>
          <w:b/>
        </w:rPr>
        <w:t>Siguiente paso:</w:t>
      </w:r>
      <w:r>
        <w:t xml:space="preserve"> abrí las plantillas una por una en </w:t>
      </w:r>
      <w:r>
        <w:rPr>
          <w:rFonts w:ascii="Consolas" w:hAnsi="Consolas"/>
          <w:sz w:val="20"/>
        </w:rPr>
        <w:t>templates-ISACA/</w:t>
      </w:r>
      <w:r>
        <w:t>, o empezá por la prioridad sugerida en el punto 4.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