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VPOL-21 · Correspondencia normativa y checklist final</w:t>
      </w:r>
    </w:p>
    <w:p>
      <w:pPr>
        <w:ind w:left="432"/>
      </w:pPr>
      <w:r>
        <w:rPr>
          <w:i/>
          <w:color w:val="606060"/>
        </w:rPr>
        <w:t>**Función del MCU 5.0:** Todas — este módulo integra Gobernar, Proteger, Detectar, Responder y Recuperar</w:t>
      </w:r>
    </w:p>
    <w:p>
      <w:pPr>
        <w:ind w:left="432"/>
      </w:pPr>
      <w:r>
        <w:rPr>
          <w:i/>
          <w:color w:val="606060"/>
        </w:rPr>
        <w:t>**ISO/IEC 27001:** Trazabilidad entre políticas y controles del Anexo A</w:t>
      </w:r>
    </w:p>
    <w:p>
      <w:pPr>
        <w:ind w:left="432"/>
      </w:pPr>
      <w:r>
        <w:rPr>
          <w:i/>
          <w:color w:val="606060"/>
        </w:rPr>
        <w:t>**BCU:** Correspondencia con los EMG y el RNRCSF</w:t>
      </w:r>
    </w:p>
    <w:p>
      <w:pPr>
        <w:ind w:left="432"/>
      </w:pPr>
      <w:r>
        <w:rPr>
          <w:i/>
          <w:color w:val="606060"/>
        </w:rPr>
        <w:t>**URCDP:** Correspondencia con la Ley 18.331</w:t>
      </w:r>
    </w:p>
    <w:p>
      <w:pPr>
        <w:ind w:left="432"/>
      </w:pPr>
      <w:r>
        <w:rPr>
          <w:i/>
          <w:color w:val="606060"/>
        </w:rPr>
        <w:t>**Nivel del curso:** 🔴 Dominar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1. Correspondencia de las 15 plantillas con los marcos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Plantilla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MCU 5.0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ISO/IEC 27001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BCU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URCDP</w:t>
            </w:r>
          </w:p>
        </w:tc>
      </w:tr>
      <w:tr>
        <w:tc>
          <w:tcPr>
            <w:tcW w:type="dxa" w:w="1930"/>
          </w:tcPr>
          <w:p>
            <w:r/>
            <w:r>
              <w:t>01 · Acceptable Use</w:t>
            </w:r>
          </w:p>
        </w:tc>
        <w:tc>
          <w:tcPr>
            <w:tcW w:type="dxa" w:w="1930"/>
          </w:tcPr>
          <w:p>
            <w:r/>
            <w:r>
              <w:t>GV.OR, PR.AC</w:t>
            </w:r>
          </w:p>
        </w:tc>
        <w:tc>
          <w:tcPr>
            <w:tcW w:type="dxa" w:w="1930"/>
          </w:tcPr>
          <w:p>
            <w:r/>
            <w:r>
              <w:t>A.5.10, A.8.1</w:t>
            </w:r>
          </w:p>
        </w:tc>
        <w:tc>
          <w:tcPr>
            <w:tcW w:type="dxa" w:w="1930"/>
          </w:tcPr>
          <w:p>
            <w:r/>
            <w:r>
              <w:t>EMG-gobierno</w:t>
            </w:r>
          </w:p>
        </w:tc>
        <w:tc>
          <w:tcPr>
            <w:tcW w:type="dxa" w:w="1930"/>
          </w:tcPr>
          <w:p>
            <w:r/>
            <w:r>
              <w:t>arts. 9-10</w:t>
            </w:r>
          </w:p>
        </w:tc>
      </w:tr>
      <w:tr>
        <w:tc>
          <w:tcPr>
            <w:tcW w:type="dxa" w:w="1930"/>
          </w:tcPr>
          <w:p>
            <w:r/>
            <w:r>
              <w:t>02 · AI Acceptable Use</w:t>
            </w:r>
          </w:p>
        </w:tc>
        <w:tc>
          <w:tcPr>
            <w:tcW w:type="dxa" w:w="1930"/>
          </w:tcPr>
          <w:p>
            <w:r/>
            <w:r>
              <w:t>GV.OR, GV.RM</w:t>
            </w:r>
          </w:p>
        </w:tc>
        <w:tc>
          <w:tcPr>
            <w:tcW w:type="dxa" w:w="1930"/>
          </w:tcPr>
          <w:p>
            <w:r/>
            <w:r>
              <w:t>A.5.9, A.8.12</w:t>
            </w:r>
          </w:p>
        </w:tc>
        <w:tc>
          <w:tcPr>
            <w:tcW w:type="dxa" w:w="1930"/>
          </w:tcPr>
          <w:p>
            <w:r/>
            <w:r>
              <w:t>EMG-gobierno</w:t>
            </w:r>
          </w:p>
        </w:tc>
        <w:tc>
          <w:tcPr>
            <w:tcW w:type="dxa" w:w="1930"/>
          </w:tcPr>
          <w:p>
            <w:r/>
            <w:r>
              <w:t>art. 10</w:t>
            </w:r>
          </w:p>
        </w:tc>
      </w:tr>
      <w:tr>
        <w:tc>
          <w:tcPr>
            <w:tcW w:type="dxa" w:w="1930"/>
          </w:tcPr>
          <w:p>
            <w:r/>
            <w:r>
              <w:t>03 · Change Management</w:t>
            </w:r>
          </w:p>
        </w:tc>
        <w:tc>
          <w:tcPr>
            <w:tcW w:type="dxa" w:w="1930"/>
          </w:tcPr>
          <w:p>
            <w:r/>
            <w:r>
              <w:t>PR.PS</w:t>
            </w:r>
          </w:p>
        </w:tc>
        <w:tc>
          <w:tcPr>
            <w:tcW w:type="dxa" w:w="1930"/>
          </w:tcPr>
          <w:p>
            <w:r/>
            <w:r>
              <w:t>A.8.32</w:t>
            </w:r>
          </w:p>
        </w:tc>
        <w:tc>
          <w:tcPr>
            <w:tcW w:type="dxa" w:w="1930"/>
          </w:tcPr>
          <w:p>
            <w:r/>
            <w:r>
              <w:t>EMG, C.2280</w:t>
            </w:r>
          </w:p>
        </w:tc>
        <w:tc>
          <w:tcPr>
            <w:tcW w:type="dxa" w:w="1930"/>
          </w:tcPr>
          <w:p>
            <w:r/>
            <w:r>
              <w:t>art. 10</w:t>
            </w:r>
          </w:p>
        </w:tc>
      </w:tr>
      <w:tr>
        <w:tc>
          <w:tcPr>
            <w:tcW w:type="dxa" w:w="1930"/>
          </w:tcPr>
          <w:p>
            <w:r/>
            <w:r>
              <w:t>04 · Clear Desk</w:t>
            </w:r>
          </w:p>
        </w:tc>
        <w:tc>
          <w:tcPr>
            <w:tcW w:type="dxa" w:w="1930"/>
          </w:tcPr>
          <w:p>
            <w:r/>
            <w:r>
              <w:t>PR.PS</w:t>
            </w:r>
          </w:p>
        </w:tc>
        <w:tc>
          <w:tcPr>
            <w:tcW w:type="dxa" w:w="1930"/>
          </w:tcPr>
          <w:p>
            <w:r/>
            <w:r>
              <w:t>A.7.7</w:t>
            </w:r>
          </w:p>
        </w:tc>
        <w:tc>
          <w:tcPr>
            <w:tcW w:type="dxa" w:w="1930"/>
          </w:tcPr>
          <w:p>
            <w:r/>
            <w:r>
              <w:t>EMG</w:t>
            </w:r>
          </w:p>
        </w:tc>
        <w:tc>
          <w:tcPr>
            <w:tcW w:type="dxa" w:w="1930"/>
          </w:tcPr>
          <w:p>
            <w:r/>
            <w:r>
              <w:t>art. 10</w:t>
            </w:r>
          </w:p>
        </w:tc>
      </w:tr>
      <w:tr>
        <w:tc>
          <w:tcPr>
            <w:tcW w:type="dxa" w:w="1930"/>
          </w:tcPr>
          <w:p>
            <w:r/>
            <w:r>
              <w:t>05 · Cloud Usage</w:t>
            </w:r>
          </w:p>
        </w:tc>
        <w:tc>
          <w:tcPr>
            <w:tcW w:type="dxa" w:w="1930"/>
          </w:tcPr>
          <w:p>
            <w:r/>
            <w:r>
              <w:t>GV.OR, PR.DS</w:t>
            </w:r>
          </w:p>
        </w:tc>
        <w:tc>
          <w:tcPr>
            <w:tcW w:type="dxa" w:w="1930"/>
          </w:tcPr>
          <w:p>
            <w:r/>
            <w:r>
              <w:t>A.5.19-21, A.8.11</w:t>
            </w:r>
          </w:p>
        </w:tc>
        <w:tc>
          <w:tcPr>
            <w:tcW w:type="dxa" w:w="1930"/>
          </w:tcPr>
          <w:p>
            <w:r/>
            <w:r>
              <w:t>EMG, C.2280</w:t>
            </w:r>
          </w:p>
        </w:tc>
        <w:tc>
          <w:tcPr>
            <w:tcW w:type="dxa" w:w="1930"/>
          </w:tcPr>
          <w:p>
            <w:r/>
            <w:r>
              <w:t>arts. 10, 27-bis</w:t>
            </w:r>
          </w:p>
        </w:tc>
      </w:tr>
      <w:tr>
        <w:tc>
          <w:tcPr>
            <w:tcW w:type="dxa" w:w="1930"/>
          </w:tcPr>
          <w:p>
            <w:r/>
            <w:r>
              <w:t>06 · Data Backup</w:t>
            </w:r>
          </w:p>
        </w:tc>
        <w:tc>
          <w:tcPr>
            <w:tcW w:type="dxa" w:w="1930"/>
          </w:tcPr>
          <w:p>
            <w:r/>
            <w:r>
              <w:t>RC.RP, PR.DS</w:t>
            </w:r>
          </w:p>
        </w:tc>
        <w:tc>
          <w:tcPr>
            <w:tcW w:type="dxa" w:w="1930"/>
          </w:tcPr>
          <w:p>
            <w:r/>
            <w:r>
              <w:t>A.8.13</w:t>
            </w:r>
          </w:p>
        </w:tc>
        <w:tc>
          <w:tcPr>
            <w:tcW w:type="dxa" w:w="1930"/>
          </w:tcPr>
          <w:p>
            <w:r/>
            <w:r>
              <w:t>RNRCSF</w:t>
            </w:r>
          </w:p>
        </w:tc>
        <w:tc>
          <w:tcPr>
            <w:tcW w:type="dxa" w:w="1930"/>
          </w:tcPr>
          <w:p>
            <w:r/>
            <w:r>
              <w:t>art. 10</w:t>
            </w:r>
          </w:p>
        </w:tc>
      </w:tr>
      <w:tr>
        <w:tc>
          <w:tcPr>
            <w:tcW w:type="dxa" w:w="1930"/>
          </w:tcPr>
          <w:p>
            <w:r/>
            <w:r>
              <w:t>07 · Classification</w:t>
            </w:r>
          </w:p>
        </w:tc>
        <w:tc>
          <w:tcPr>
            <w:tcW w:type="dxa" w:w="1930"/>
          </w:tcPr>
          <w:p>
            <w:r/>
            <w:r>
              <w:t>ID.RA, PR.DS</w:t>
            </w:r>
          </w:p>
        </w:tc>
        <w:tc>
          <w:tcPr>
            <w:tcW w:type="dxa" w:w="1930"/>
          </w:tcPr>
          <w:p>
            <w:r/>
            <w:r>
              <w:t>A.5.9, A.5.12</w:t>
            </w:r>
          </w:p>
        </w:tc>
        <w:tc>
          <w:tcPr>
            <w:tcW w:type="dxa" w:w="1930"/>
          </w:tcPr>
          <w:p>
            <w:r/>
            <w:r>
              <w:t>EMG</w:t>
            </w:r>
          </w:p>
        </w:tc>
        <w:tc>
          <w:tcPr>
            <w:tcW w:type="dxa" w:w="1930"/>
          </w:tcPr>
          <w:p>
            <w:r/>
            <w:r>
              <w:t>art. 10</w:t>
            </w:r>
          </w:p>
        </w:tc>
      </w:tr>
      <w:tr>
        <w:tc>
          <w:tcPr>
            <w:tcW w:type="dxa" w:w="1930"/>
          </w:tcPr>
          <w:p>
            <w:r/>
            <w:r>
              <w:t>08 · Info Security (madre)</w:t>
            </w:r>
          </w:p>
        </w:tc>
        <w:tc>
          <w:tcPr>
            <w:tcW w:type="dxa" w:w="1930"/>
          </w:tcPr>
          <w:p>
            <w:r/>
            <w:r>
              <w:t>GV.OR</w:t>
            </w:r>
          </w:p>
        </w:tc>
        <w:tc>
          <w:tcPr>
            <w:tcW w:type="dxa" w:w="1930"/>
          </w:tcPr>
          <w:p>
            <w:r/>
            <w:r>
              <w:t>cláusula 5.2, A.5.1</w:t>
            </w:r>
          </w:p>
        </w:tc>
        <w:tc>
          <w:tcPr>
            <w:tcW w:type="dxa" w:w="1930"/>
          </w:tcPr>
          <w:p>
            <w:r/>
            <w:r>
              <w:t>EMG</w:t>
            </w:r>
          </w:p>
        </w:tc>
        <w:tc>
          <w:tcPr>
            <w:tcW w:type="dxa" w:w="1930"/>
          </w:tcPr>
          <w:p>
            <w:r/>
            <w:r>
              <w:t>art. 10</w:t>
            </w:r>
          </w:p>
        </w:tc>
      </w:tr>
      <w:tr>
        <w:tc>
          <w:tcPr>
            <w:tcW w:type="dxa" w:w="1930"/>
          </w:tcPr>
          <w:p>
            <w:r/>
            <w:r>
              <w:t>09 · Logging &amp; Monitoring</w:t>
            </w:r>
          </w:p>
        </w:tc>
        <w:tc>
          <w:tcPr>
            <w:tcW w:type="dxa" w:w="1930"/>
          </w:tcPr>
          <w:p>
            <w:r/>
            <w:r>
              <w:t>DE.AE, DE.CM</w:t>
            </w:r>
          </w:p>
        </w:tc>
        <w:tc>
          <w:tcPr>
            <w:tcW w:type="dxa" w:w="1930"/>
          </w:tcPr>
          <w:p>
            <w:r/>
            <w:r>
              <w:t>A.8.15-17</w:t>
            </w:r>
          </w:p>
        </w:tc>
        <w:tc>
          <w:tcPr>
            <w:tcW w:type="dxa" w:w="1930"/>
          </w:tcPr>
          <w:p>
            <w:r/>
            <w:r>
              <w:t>EMG</w:t>
            </w:r>
          </w:p>
        </w:tc>
        <w:tc>
          <w:tcPr>
            <w:tcW w:type="dxa" w:w="1930"/>
          </w:tcPr>
          <w:p>
            <w:r/>
            <w:r>
              <w:t>arts. 10, 27-bis</w:t>
            </w:r>
          </w:p>
        </w:tc>
      </w:tr>
      <w:tr>
        <w:tc>
          <w:tcPr>
            <w:tcW w:type="dxa" w:w="1930"/>
          </w:tcPr>
          <w:p>
            <w:r/>
            <w:r>
              <w:t>10 · Network Security</w:t>
            </w:r>
          </w:p>
        </w:tc>
        <w:tc>
          <w:tcPr>
            <w:tcW w:type="dxa" w:w="1930"/>
          </w:tcPr>
          <w:p>
            <w:r/>
            <w:r>
              <w:t>PR.AC, PR.PS</w:t>
            </w:r>
          </w:p>
        </w:tc>
        <w:tc>
          <w:tcPr>
            <w:tcW w:type="dxa" w:w="1930"/>
          </w:tcPr>
          <w:p>
            <w:r/>
            <w:r>
              <w:t>A.8.20-23</w:t>
            </w:r>
          </w:p>
        </w:tc>
        <w:tc>
          <w:tcPr>
            <w:tcW w:type="dxa" w:w="1930"/>
          </w:tcPr>
          <w:p>
            <w:r/>
            <w:r>
              <w:t>EMG, C.2280</w:t>
            </w:r>
          </w:p>
        </w:tc>
        <w:tc>
          <w:tcPr>
            <w:tcW w:type="dxa" w:w="1930"/>
          </w:tcPr>
          <w:p>
            <w:r/>
            <w:r>
              <w:t>art. 10</w:t>
            </w:r>
          </w:p>
        </w:tc>
      </w:tr>
      <w:tr>
        <w:tc>
          <w:tcPr>
            <w:tcW w:type="dxa" w:w="1930"/>
          </w:tcPr>
          <w:p>
            <w:r/>
            <w:r>
              <w:t>11 · Personnel Security</w:t>
            </w:r>
          </w:p>
        </w:tc>
        <w:tc>
          <w:tcPr>
            <w:tcW w:type="dxa" w:w="1930"/>
          </w:tcPr>
          <w:p>
            <w:r/>
            <w:r>
              <w:t>GV.OR, PR.AT</w:t>
            </w:r>
          </w:p>
        </w:tc>
        <w:tc>
          <w:tcPr>
            <w:tcW w:type="dxa" w:w="1930"/>
          </w:tcPr>
          <w:p>
            <w:r/>
            <w:r>
              <w:t>A.6.1-6</w:t>
            </w:r>
          </w:p>
        </w:tc>
        <w:tc>
          <w:tcPr>
            <w:tcW w:type="dxa" w:w="1930"/>
          </w:tcPr>
          <w:p>
            <w:r/>
            <w:r>
              <w:t>EMG</w:t>
            </w:r>
          </w:p>
        </w:tc>
        <w:tc>
          <w:tcPr>
            <w:tcW w:type="dxa" w:w="1930"/>
          </w:tcPr>
          <w:p>
            <w:r/>
            <w:r>
              <w:t>art. 10</w:t>
            </w:r>
          </w:p>
        </w:tc>
      </w:tr>
      <w:tr>
        <w:tc>
          <w:tcPr>
            <w:tcW w:type="dxa" w:w="1930"/>
          </w:tcPr>
          <w:p>
            <w:r/>
            <w:r>
              <w:t>12 · Removable Media</w:t>
            </w:r>
          </w:p>
        </w:tc>
        <w:tc>
          <w:tcPr>
            <w:tcW w:type="dxa" w:w="1930"/>
          </w:tcPr>
          <w:p>
            <w:r/>
            <w:r>
              <w:t>PR.DS</w:t>
            </w:r>
          </w:p>
        </w:tc>
        <w:tc>
          <w:tcPr>
            <w:tcW w:type="dxa" w:w="1930"/>
          </w:tcPr>
          <w:p>
            <w:r/>
            <w:r>
              <w:t>A.8.3, A.8.10</w:t>
            </w:r>
          </w:p>
        </w:tc>
        <w:tc>
          <w:tcPr>
            <w:tcW w:type="dxa" w:w="1930"/>
          </w:tcPr>
          <w:p>
            <w:r/>
            <w:r>
              <w:t>EMG</w:t>
            </w:r>
          </w:p>
        </w:tc>
        <w:tc>
          <w:tcPr>
            <w:tcW w:type="dxa" w:w="1930"/>
          </w:tcPr>
          <w:p>
            <w:r/>
            <w:r>
              <w:t>arts. 10, 27-bis</w:t>
            </w:r>
          </w:p>
        </w:tc>
      </w:tr>
      <w:tr>
        <w:tc>
          <w:tcPr>
            <w:tcW w:type="dxa" w:w="1930"/>
          </w:tcPr>
          <w:p>
            <w:r/>
            <w:r>
              <w:t>13 · Third-Party Mgmt</w:t>
            </w:r>
          </w:p>
        </w:tc>
        <w:tc>
          <w:tcPr>
            <w:tcW w:type="dxa" w:w="1930"/>
          </w:tcPr>
          <w:p>
            <w:r/>
            <w:r>
              <w:t>GV.RM</w:t>
            </w:r>
          </w:p>
        </w:tc>
        <w:tc>
          <w:tcPr>
            <w:tcW w:type="dxa" w:w="1930"/>
          </w:tcPr>
          <w:p>
            <w:r/>
            <w:r>
              <w:t>A.5.19-23</w:t>
            </w:r>
          </w:p>
        </w:tc>
        <w:tc>
          <w:tcPr>
            <w:tcW w:type="dxa" w:w="1930"/>
          </w:tcPr>
          <w:p>
            <w:r/>
            <w:r>
              <w:t>EMG, C.2280</w:t>
            </w:r>
          </w:p>
        </w:tc>
        <w:tc>
          <w:tcPr>
            <w:tcW w:type="dxa" w:w="1930"/>
          </w:tcPr>
          <w:p>
            <w:r/>
            <w:r>
              <w:t>arts. 10, 27-bis</w:t>
            </w:r>
          </w:p>
        </w:tc>
      </w:tr>
      <w:tr>
        <w:tc>
          <w:tcPr>
            <w:tcW w:type="dxa" w:w="1930"/>
          </w:tcPr>
          <w:p>
            <w:r/>
            <w:r>
              <w:t>14 · User Access Mgmt</w:t>
            </w:r>
          </w:p>
        </w:tc>
        <w:tc>
          <w:tcPr>
            <w:tcW w:type="dxa" w:w="1930"/>
          </w:tcPr>
          <w:p>
            <w:r/>
            <w:r>
              <w:t>PR.AC</w:t>
            </w:r>
          </w:p>
        </w:tc>
        <w:tc>
          <w:tcPr>
            <w:tcW w:type="dxa" w:w="1930"/>
          </w:tcPr>
          <w:p>
            <w:r/>
            <w:r>
              <w:t>A.5.15-18, A.8.5</w:t>
            </w:r>
          </w:p>
        </w:tc>
        <w:tc>
          <w:tcPr>
            <w:tcW w:type="dxa" w:w="1930"/>
          </w:tcPr>
          <w:p>
            <w:r/>
            <w:r>
              <w:t>EMG</w:t>
            </w:r>
          </w:p>
        </w:tc>
        <w:tc>
          <w:tcPr>
            <w:tcW w:type="dxa" w:w="1930"/>
          </w:tcPr>
          <w:p>
            <w:r/>
            <w:r>
              <w:t>art. 10</w:t>
            </w:r>
          </w:p>
        </w:tc>
      </w:tr>
      <w:tr>
        <w:tc>
          <w:tcPr>
            <w:tcW w:type="dxa" w:w="1930"/>
          </w:tcPr>
          <w:p>
            <w:r/>
            <w:r>
              <w:t>15 · Vulnerability Mgmt</w:t>
            </w:r>
          </w:p>
        </w:tc>
        <w:tc>
          <w:tcPr>
            <w:tcW w:type="dxa" w:w="1930"/>
          </w:tcPr>
          <w:p>
            <w:r/>
            <w:r>
              <w:t>PR.PS, DE.CM</w:t>
            </w:r>
          </w:p>
        </w:tc>
        <w:tc>
          <w:tcPr>
            <w:tcW w:type="dxa" w:w="1930"/>
          </w:tcPr>
          <w:p>
            <w:r/>
            <w:r>
              <w:t>A.8.8, A.8.9</w:t>
            </w:r>
          </w:p>
        </w:tc>
        <w:tc>
          <w:tcPr>
            <w:tcW w:type="dxa" w:w="1930"/>
          </w:tcPr>
          <w:p>
            <w:r/>
            <w:r>
              <w:t>EMG, RNRCSF</w:t>
            </w:r>
          </w:p>
        </w:tc>
        <w:tc>
          <w:tcPr>
            <w:tcW w:type="dxa" w:w="1930"/>
          </w:tcPr>
          <w:p>
            <w:r/>
            <w:r>
              <w:t>art. 10</w:t>
            </w:r>
          </w:p>
        </w:tc>
      </w:tr>
    </w:tbl>
    <w:p>
      <w:pPr>
        <w:pStyle w:val="Heading2"/>
      </w:pPr>
      <w:r>
        <w:rPr>
          <w:color w:val="1F3B63"/>
        </w:rPr>
        <w:t>2. Checklist del ciclo completo del curso</w:t>
      </w:r>
    </w:p>
    <w:p>
      <w:pPr>
        <w:pStyle w:val="Heading3"/>
      </w:pPr>
      <w:r>
        <w:rPr>
          <w:color w:val="1F3B63"/>
        </w:rPr>
        <w:t>A. Gestión de vulnerabilidades (enfoque Uruguay)</w:t>
      </w:r>
    </w:p>
    <w:p>
      <w:pPr>
        <w:pStyle w:val="ListBullet"/>
      </w:pPr>
      <w:r>
        <w:t>☐ Inventario de activos (ID-01) actualizado y clasificado.</w:t>
      </w:r>
    </w:p>
    <w:p>
      <w:pPr>
        <w:pStyle w:val="ListBullet"/>
      </w:pPr>
      <w:r>
        <w:t>☐ Escaneo periódico definido (frecuencia, herramienta, alcance).</w:t>
      </w:r>
    </w:p>
    <w:p>
      <w:pPr>
        <w:pStyle w:val="ListBullet"/>
      </w:pPr>
      <w:r>
        <w:t>☐ Criterios de priorización por CVSS + contexto.</w:t>
      </w:r>
    </w:p>
    <w:p>
      <w:pPr>
        <w:pStyle w:val="ListBullet"/>
      </w:pPr>
      <w:r>
        <w:t>☐ Plazos de corrección por criticidad definidos (y aprobados).</w:t>
      </w:r>
    </w:p>
    <w:p>
      <w:pPr>
        <w:pStyle w:val="ListBullet"/>
      </w:pPr>
      <w:r>
        <w:t>☐ Ventanas de mantenimiento y prueba en homologación.</w:t>
      </w:r>
    </w:p>
    <w:p>
      <w:pPr>
        <w:pStyle w:val="ListBullet"/>
      </w:pPr>
      <w:r>
        <w:t>☐ Proceso de excepciones con aceptación del riesgo residual.</w:t>
      </w:r>
    </w:p>
    <w:p>
      <w:pPr>
        <w:pStyle w:val="ListBullet"/>
      </w:pPr>
      <w:r>
        <w:t>☐ Verificación post-parcheo con escaneo puntual.</w:t>
      </w:r>
    </w:p>
    <w:p>
      <w:pPr>
        <w:pStyle w:val="ListBullet"/>
      </w:pPr>
      <w:r>
        <w:t>☐ KPIs definidos y reportados al Comité.</w:t>
      </w:r>
    </w:p>
    <w:p>
      <w:pPr>
        <w:pStyle w:val="Heading3"/>
      </w:pPr>
      <w:r>
        <w:rPr>
          <w:color w:val="1F3B63"/>
        </w:rPr>
        <w:t>B. Redacción de políticas, procesos y controles</w:t>
      </w:r>
    </w:p>
    <w:p>
      <w:pPr>
        <w:pStyle w:val="ListBullet"/>
      </w:pPr>
      <w:r>
        <w:t>☐ Política madre (VPOL-13) aprobada por el Directorio.</w:t>
      </w:r>
    </w:p>
    <w:p>
      <w:pPr>
        <w:pStyle w:val="ListBullet"/>
      </w:pPr>
      <w:r>
        <w:t xml:space="preserve">☐ 15 plantillas ISACA completadas con los </w:t>
      </w:r>
      <w:r>
        <w:rPr>
          <w:rFonts w:ascii="Consolas" w:hAnsi="Consolas"/>
          <w:sz w:val="20"/>
        </w:rPr>
        <w:t>[COMPLETAR]</w:t>
      </w:r>
      <w:r>
        <w:t xml:space="preserve"> del Banco.</w:t>
      </w:r>
    </w:p>
    <w:p>
      <w:pPr>
        <w:pStyle w:val="ListBullet"/>
      </w:pPr>
      <w:r>
        <w:t>☐ Cada política con objetivo, alcance, roles, reglas, cumplimiento y revisión.</w:t>
      </w:r>
    </w:p>
    <w:p>
      <w:pPr>
        <w:pStyle w:val="ListBullet"/>
      </w:pPr>
      <w:r>
        <w:t>☐ Cada política con su proceso operativo (quién, cómo, plazos, salidas).</w:t>
      </w:r>
    </w:p>
    <w:p>
      <w:pPr>
        <w:pStyle w:val="ListBullet"/>
      </w:pPr>
      <w:r>
        <w:t>☐ Cada proceso con sus controles (preventivo/detectivo/correctivo).</w:t>
      </w:r>
    </w:p>
    <w:p>
      <w:pPr>
        <w:pStyle w:val="ListBullet"/>
      </w:pPr>
      <w:r>
        <w:t>☐ Cada control con su evidencia (fecha, alcance, herramienta, resultado).</w:t>
      </w:r>
    </w:p>
    <w:p>
      <w:pPr>
        <w:pStyle w:val="ListBullet"/>
      </w:pPr>
      <w:r>
        <w:t>☐ Relación política ↔ proceso ↔ control ↔ evidencia documentada.</w:t>
      </w:r>
    </w:p>
    <w:p>
      <w:pPr>
        <w:pStyle w:val="ListBullet"/>
      </w:pPr>
      <w:r>
        <w:t>☐ Publicación en el SGSI + control de cambios (GV-06).</w:t>
      </w:r>
    </w:p>
    <w:p>
      <w:pPr>
        <w:pStyle w:val="Heading3"/>
      </w:pPr>
      <w:r>
        <w:rPr>
          <w:color w:val="1F3B63"/>
        </w:rPr>
        <w:t>C. Cumplimiento normativo</w:t>
      </w:r>
    </w:p>
    <w:p>
      <w:pPr>
        <w:pStyle w:val="ListBullet"/>
      </w:pPr>
      <w:r>
        <w:t>☐ Mapeo a MCU 5.0 (Agesic) verificado.</w:t>
      </w:r>
    </w:p>
    <w:p>
      <w:pPr>
        <w:pStyle w:val="ListBullet"/>
      </w:pPr>
      <w:r>
        <w:t>☐ Mapeo a ISO/IEC 27001 (Anexo A) verificado.</w:t>
      </w:r>
    </w:p>
    <w:p>
      <w:pPr>
        <w:pStyle w:val="ListBullet"/>
      </w:pPr>
      <w:r>
        <w:t>☐ Mapeo a los EMG del BCU verificado.</w:t>
      </w:r>
    </w:p>
    <w:p>
      <w:pPr>
        <w:pStyle w:val="ListBullet"/>
      </w:pPr>
      <w:r>
        <w:t>☐ Ley 18.331 (URCDP) contemplada, incluida la notificación de vulneraciones.</w:t>
      </w:r>
    </w:p>
    <w:p>
      <w:pPr>
        <w:pStyle w:val="ListBullet"/>
      </w:pPr>
      <w:r>
        <w:t>☐ Revisión anual programada para cada política.</w:t>
      </w:r>
    </w:p>
    <w:p>
      <w:pPr>
        <w:pStyle w:val="Heading2"/>
      </w:pPr>
      <w:r>
        <w:rPr>
          <w:color w:val="1F3B63"/>
        </w:rPr>
        <w:t>3. Próximos pasos en el kit</w:t>
      </w:r>
    </w:p>
    <w:p>
      <w:pPr>
        <w:pStyle w:val="ListNumber"/>
      </w:pPr>
      <w:r>
        <w:t xml:space="preserve">Completá las plantillas en </w:t>
      </w:r>
      <w:r>
        <w:rPr>
          <w:rFonts w:ascii="Consolas" w:hAnsi="Consolas"/>
          <w:sz w:val="20"/>
        </w:rPr>
        <w:t>templates-ISACA/</w:t>
      </w:r>
      <w:r>
        <w:t xml:space="preserve"> y convertí a </w:t>
      </w:r>
      <w:r>
        <w:rPr>
          <w:rFonts w:ascii="Consolas" w:hAnsi="Consolas"/>
          <w:sz w:val="20"/>
        </w:rPr>
        <w:t>.docx</w:t>
      </w:r>
      <w:r>
        <w:t xml:space="preserve"> con </w:t>
      </w:r>
      <w:r>
        <w:rPr>
          <w:rFonts w:ascii="Consolas" w:hAnsi="Consolas"/>
          <w:sz w:val="20"/>
        </w:rPr>
        <w:t>md_a_docx.py</w:t>
      </w:r>
      <w:r>
        <w:t>.</w:t>
      </w:r>
    </w:p>
    <w:p>
      <w:pPr>
        <w:pStyle w:val="ListNumber"/>
      </w:pPr>
      <w:r>
        <w:t xml:space="preserve">Integrá cada política con su documento canónico de </w:t>
      </w:r>
      <w:r>
        <w:rPr>
          <w:rFonts w:ascii="Consolas" w:hAnsi="Consolas"/>
          <w:sz w:val="20"/>
        </w:rPr>
        <w:t>02-ENTREGABLES/</w:t>
      </w:r>
      <w:r>
        <w:t>.</w:t>
      </w:r>
    </w:p>
    <w:p>
      <w:pPr>
        <w:pStyle w:val="ListNumber"/>
      </w:pPr>
      <w:r>
        <w:t xml:space="preserve">Practicá la redacción con la </w:t>
      </w:r>
      <w:r>
        <w:rPr>
          <w:b/>
        </w:rPr>
        <w:t>actividad 44</w:t>
      </w:r>
      <w:r>
        <w:t xml:space="preserve"> del curso RSI (políticas/procesos/controles).</w:t>
      </w:r>
    </w:p>
    <w:p>
      <w:pPr>
        <w:pStyle w:val="ListNumber"/>
      </w:pPr>
      <w:r>
        <w:t xml:space="preserve">Practicá la </w:t>
      </w:r>
      <w:r>
        <w:rPr>
          <w:b/>
        </w:rPr>
        <w:t>actividad 45</w:t>
      </w:r>
      <w:r>
        <w:t xml:space="preserve"> (direccionamiento IP v4/v6, NAT y firewall/WAF en modo bloqueo).</w:t>
      </w:r>
    </w:p>
    <w:p>
      <w:pPr>
        <w:pStyle w:val="ListNumber"/>
      </w:pPr>
      <w:r>
        <w:t xml:space="preserve">Reportá las métricas de vulnerabilidades en el </w:t>
      </w:r>
      <w:r>
        <w:rPr>
          <w:b/>
        </w:rPr>
        <w:t>tablero de KPIs</w:t>
      </w:r>
      <w:r>
        <w:t xml:space="preserve"> (actividad 43).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