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POL-01 · Política de Seguridad de la Información (Política Madre)</w:t>
      </w:r>
    </w:p>
    <w:p>
      <w:pPr>
        <w:ind w:left="432"/>
      </w:pPr>
      <w:r>
        <w:rPr>
          <w:i/>
          <w:color w:val="606060"/>
        </w:rPr>
        <w:t>**Función del MCU 5.0:** Gobernar (GV.OR — marco de gestión; GV.RM — gestión de riesgos) · base de todo el SGSI</w:t>
      </w:r>
    </w:p>
    <w:p>
      <w:pPr>
        <w:ind w:left="432"/>
      </w:pPr>
      <w:r>
        <w:rPr>
          <w:i/>
          <w:color w:val="606060"/>
        </w:rPr>
        <w:t>**ISO/IEC 27001:** A.5.1 (políticas de seguridad de la información) · A.5.2 (revisión) · A.6.1.2 (roles) · A.6.1.3 (segregación de funciones)</w:t>
      </w:r>
    </w:p>
    <w:p>
      <w:pPr>
        <w:ind w:left="432"/>
      </w:pPr>
      <w:r>
        <w:rPr>
          <w:i/>
          <w:color w:val="606060"/>
        </w:rPr>
        <w:t>**BCU:** EMG — gobierno y cultura de seguridad; la política madre es el documento de más alto nivel del riesgo de TIC</w:t>
      </w:r>
    </w:p>
    <w:p>
      <w:pPr>
        <w:ind w:left="432"/>
      </w:pPr>
      <w:r>
        <w:rPr>
          <w:i/>
          <w:color w:val="606060"/>
        </w:rPr>
        <w:t>**URCDP:** Ley 18.331 art. 9 (deber de seguridad) y art. 10 (medidas técnicas y organizativas) — la política madre documenta el compromiso institucional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POL-01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Política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Dirección General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Establecer el </w:t>
      </w:r>
      <w:r>
        <w:rPr>
          <w:b/>
        </w:rPr>
        <w:t>marco general</w:t>
      </w:r>
      <w:r>
        <w:t xml:space="preserve"> de protección de la información del Banco, los principios que rigen la seguridad, las responsabilidades de dirección y el compromiso institucional con el cumplimiento normativo (Agesic, BCU, URCDP).</w:t>
      </w:r>
    </w:p>
    <w:p>
      <w:pPr>
        <w:pStyle w:val="Heading3"/>
      </w:pPr>
      <w:r>
        <w:rPr>
          <w:color w:val="1F3B63"/>
        </w:rPr>
        <w:t>2. Alcance</w:t>
      </w:r>
    </w:p>
    <w:p>
      <w:r>
        <w:t xml:space="preserve">Aplica a </w:t>
      </w:r>
      <w:r>
        <w:rPr>
          <w:b/>
        </w:rPr>
        <w:t>toda la información y los activos del Banco</w:t>
      </w:r>
      <w:r>
        <w:t xml:space="preserve"> (físicos, digitales y de personal), a todo el personal, proveedores, contratistas y terceros que accedan a recursos del Banco, en cualquier sede, en tránsito o en modalidad de trabajo remoto.</w:t>
      </w:r>
    </w:p>
    <w:p>
      <w:pPr>
        <w:pStyle w:val="Heading3"/>
      </w:pPr>
      <w:r>
        <w:rPr>
          <w:color w:val="1F3B63"/>
        </w:rPr>
        <w:t>3. Principios rectores</w:t>
      </w:r>
    </w:p>
    <w:p>
      <w:pPr>
        <w:pStyle w:val="ListBullet"/>
      </w:pPr>
      <w:r>
        <w:rPr>
          <w:b/>
        </w:rPr>
        <w:t>Confidencialidad:</w:t>
      </w:r>
      <w:r>
        <w:t xml:space="preserve"> solo accede quien está autorizado.</w:t>
      </w:r>
    </w:p>
    <w:p>
      <w:pPr>
        <w:pStyle w:val="ListBullet"/>
      </w:pPr>
      <w:r>
        <w:rPr>
          <w:b/>
        </w:rPr>
        <w:t>Integridad:</w:t>
      </w:r>
      <w:r>
        <w:t xml:space="preserve"> la información no se altera sin autorización.</w:t>
      </w:r>
    </w:p>
    <w:p>
      <w:pPr>
        <w:pStyle w:val="ListBullet"/>
      </w:pPr>
      <w:r>
        <w:rPr>
          <w:b/>
        </w:rPr>
        <w:t>Disponibilidad:</w:t>
      </w:r>
      <w:r>
        <w:t xml:space="preserve"> los servicios y datos están disponibles cuando el negocio los necesita.</w:t>
      </w:r>
    </w:p>
    <w:p>
      <w:pPr>
        <w:pStyle w:val="ListBullet"/>
      </w:pPr>
      <w:r>
        <w:rPr>
          <w:b/>
        </w:rPr>
        <w:t>Trazabilidad:</w:t>
      </w:r>
      <w:r>
        <w:t xml:space="preserve"> todo acceso y tratamiento relevante deja registro.</w:t>
      </w:r>
    </w:p>
    <w:p>
      <w:pPr>
        <w:pStyle w:val="ListBullet"/>
      </w:pPr>
      <w:r>
        <w:rPr>
          <w:b/>
        </w:rPr>
        <w:t>Cumplimiento:</w:t>
      </w:r>
      <w:r>
        <w:t xml:space="preserve"> se respeta la normativa uruguaya vigente (MCU 5.0, RNRCSF/EMG, Ley 18.331 y reglamentaciones).</w:t>
      </w:r>
    </w:p>
    <w:p>
      <w:pPr>
        <w:pStyle w:val="Heading3"/>
      </w:pPr>
      <w:r>
        <w:rPr>
          <w:color w:val="1F3B63"/>
        </w:rPr>
        <w:t>4. Roles y responsabilidades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Dirección General</w:t>
            </w:r>
          </w:p>
        </w:tc>
        <w:tc>
          <w:tcPr>
            <w:tcW w:type="dxa" w:w="4824"/>
          </w:tcPr>
          <w:p>
            <w:r/>
            <w:r>
              <w:t>Aprueba la política madre, asigna recursos y marca el tono de la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Comité de Seguridad de la Información</w:t>
            </w:r>
          </w:p>
        </w:tc>
        <w:tc>
          <w:tcPr>
            <w:tcW w:type="dxa" w:w="4824"/>
          </w:tcPr>
          <w:p>
            <w:r/>
            <w:r>
              <w:t>Revisa, aprueba y supervisa el SGSI; decide excepciones mayores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RSI</w:t>
            </w:r>
          </w:p>
        </w:tc>
        <w:tc>
          <w:tcPr>
            <w:tcW w:type="dxa" w:w="4824"/>
          </w:tcPr>
          <w:p>
            <w:r/>
            <w:r>
              <w:t>Custodia el SGSI, propone políticas, coordina la gestión de riesgos y reporta al Comité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DPD</w:t>
            </w:r>
          </w:p>
        </w:tc>
        <w:tc>
          <w:tcPr>
            <w:tcW w:type="dxa" w:w="4824"/>
          </w:tcPr>
          <w:p>
            <w:r/>
            <w:r>
              <w:t>Supervisa el tratamiento de datos personales y las EIPD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Div. TI / Producción</w:t>
            </w:r>
          </w:p>
        </w:tc>
        <w:tc>
          <w:tcPr>
            <w:tcW w:type="dxa" w:w="4824"/>
          </w:tcPr>
          <w:p>
            <w:r/>
            <w:r>
              <w:t>Ejecuta los controles técnicos y los procesos operativos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Todo el personal</w:t>
            </w:r>
          </w:p>
        </w:tc>
        <w:tc>
          <w:tcPr>
            <w:tcW w:type="dxa" w:w="4824"/>
          </w:tcPr>
          <w:p>
            <w:r/>
            <w:r>
              <w:t>Cumple las políticas y reporta incidentes y sospechas</w:t>
            </w:r>
          </w:p>
        </w:tc>
      </w:tr>
    </w:tbl>
    <w:p>
      <w:pPr>
        <w:pStyle w:val="Heading3"/>
      </w:pPr>
      <w:r>
        <w:rPr>
          <w:color w:val="1F3B63"/>
        </w:rPr>
        <w:t>5. Reglas obligatorias</w:t>
      </w:r>
    </w:p>
    <w:p>
      <w:pPr>
        <w:pStyle w:val="ListBullet"/>
      </w:pPr>
      <w:r>
        <w:t xml:space="preserve">Todo el personal debe </w:t>
      </w:r>
      <w:r>
        <w:rPr>
          <w:b/>
        </w:rPr>
        <w:t>conocer y aceptar por escrito</w:t>
      </w:r>
      <w:r>
        <w:t xml:space="preserve"> esta política y las que la complementan antes de acceder a los sistemas.</w:t>
      </w:r>
    </w:p>
    <w:p>
      <w:pPr>
        <w:pStyle w:val="ListBullet"/>
      </w:pPr>
      <w:r>
        <w:t xml:space="preserve">El </w:t>
      </w:r>
      <w:r>
        <w:rPr>
          <w:b/>
        </w:rPr>
        <w:t>incumplimiento</w:t>
      </w:r>
      <w:r>
        <w:t xml:space="preserve"> se investiga y puede dar lugar a medidas disciplinarias y, si corresponde, a acciones legales.</w:t>
      </w:r>
    </w:p>
    <w:p>
      <w:pPr>
        <w:pStyle w:val="ListBullet"/>
      </w:pPr>
      <w:r>
        <w:t xml:space="preserve">La seguridad es </w:t>
      </w:r>
      <w:r>
        <w:rPr>
          <w:b/>
        </w:rPr>
        <w:t>responsabilidad de todos</w:t>
      </w:r>
      <w:r>
        <w:t>: ningún área puede delegarla o ignorarla.</w:t>
      </w:r>
    </w:p>
    <w:p>
      <w:pPr>
        <w:pStyle w:val="ListBullet"/>
      </w:pPr>
      <w:r>
        <w:t xml:space="preserve">El Banco mantiene un </w:t>
      </w:r>
      <w:r>
        <w:rPr>
          <w:b/>
        </w:rPr>
        <w:t>inventario de activos</w:t>
      </w:r>
      <w:r>
        <w:t xml:space="preserve">, un </w:t>
      </w:r>
      <w:r>
        <w:rPr>
          <w:b/>
        </w:rPr>
        <w:t>análisis de riesgos</w:t>
      </w:r>
      <w:r>
        <w:t xml:space="preserve"> y un </w:t>
      </w:r>
      <w:r>
        <w:rPr>
          <w:b/>
        </w:rPr>
        <w:t>plan de tratamiento</w:t>
      </w:r>
      <w:r>
        <w:t xml:space="preserve"> actualizados (PCS-01).</w:t>
      </w:r>
    </w:p>
    <w:p>
      <w:pPr>
        <w:pStyle w:val="ListBullet"/>
      </w:pPr>
      <w:r>
        <w:t xml:space="preserve">Las políticas se revisan </w:t>
      </w:r>
      <w:r>
        <w:rPr>
          <w:b/>
        </w:rPr>
        <w:t>anualmente</w:t>
      </w:r>
      <w:r>
        <w:t xml:space="preserve"> o ante cambios significativos.</w:t>
      </w:r>
    </w:p>
    <w:p>
      <w:pPr>
        <w:pStyle w:val="Heading3"/>
      </w:pPr>
      <w:r>
        <w:rPr>
          <w:color w:val="1F3B63"/>
        </w:rPr>
        <w:t>6. Cumplimiento</w:t>
      </w:r>
    </w:p>
    <w:p>
      <w:r>
        <w:t xml:space="preserve">El incumplimiento de esta política se trata como </w:t>
      </w:r>
      <w:r>
        <w:rPr>
          <w:b/>
        </w:rPr>
        <w:t>incidente de seguridad</w:t>
      </w:r>
      <w:r>
        <w:t xml:space="preserve"> (RS) y se documenta. Las violaciones de datos personales se notifican conforme a la Ley 18.331 y el Decreto 64/020 (PRO-05).</w:t>
      </w:r>
    </w:p>
    <w:p>
      <w:pPr>
        <w:pStyle w:val="Heading3"/>
      </w:pPr>
      <w:r>
        <w:rPr>
          <w:color w:val="1F3B63"/>
        </w:rPr>
        <w:t>7. Excepciones</w:t>
      </w:r>
    </w:p>
    <w:p>
      <w:r>
        <w:t xml:space="preserve">Toda excepción a esta política o sus derivadas se solicita por el </w:t>
      </w:r>
      <w:r>
        <w:rPr>
          <w:b/>
        </w:rPr>
        <w:t>procedimiento de excepciones (PRO-11)</w:t>
      </w:r>
      <w:r>
        <w:t xml:space="preserve"> y requiere aprobación del RSI y del Jefe de Riesgos.</w:t>
      </w:r>
    </w:p>
    <w:p>
      <w:pPr>
        <w:pStyle w:val="Heading3"/>
      </w:pPr>
      <w:r>
        <w:rPr>
          <w:color w:val="1F3B63"/>
        </w:rPr>
        <w:t>8. Revisión</w:t>
      </w:r>
    </w:p>
    <w:p>
      <w:r>
        <w:t>Revisión anual obligatoria o ante cambios normativos, de negocio o de estructura relevantes. Toda revisión se registra en el control de cambios del SGSI (GV-06).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Política aprobada y firmada</w:t>
            </w:r>
          </w:p>
        </w:tc>
        <w:tc>
          <w:tcPr>
            <w:tcW w:type="dxa" w:w="4824"/>
          </w:tcPr>
          <w:p>
            <w:r/>
            <w:r>
              <w:t>GV-01</w:t>
            </w:r>
          </w:p>
        </w:tc>
      </w:tr>
      <w:tr>
        <w:tc>
          <w:tcPr>
            <w:tcW w:type="dxa" w:w="4824"/>
          </w:tcPr>
          <w:p>
            <w:r/>
            <w:r>
              <w:t>Actas del Comité de Seguridad</w:t>
            </w:r>
          </w:p>
        </w:tc>
        <w:tc>
          <w:tcPr>
            <w:tcW w:type="dxa" w:w="4824"/>
          </w:tcPr>
          <w:p>
            <w:r/>
            <w:r>
              <w:t>GV-02, GV-03</w:t>
            </w:r>
          </w:p>
        </w:tc>
      </w:tr>
      <w:tr>
        <w:tc>
          <w:tcPr>
            <w:tcW w:type="dxa" w:w="4824"/>
          </w:tcPr>
          <w:p>
            <w:r/>
            <w:r>
              <w:t>Control de cambios de políticas</w:t>
            </w:r>
          </w:p>
        </w:tc>
        <w:tc>
          <w:tcPr>
            <w:tcW w:type="dxa" w:w="4824"/>
          </w:tcPr>
          <w:p>
            <w:r/>
            <w:r>
              <w:t>GV-06</w:t>
            </w:r>
          </w:p>
        </w:tc>
      </w:tr>
      <w:tr>
        <w:tc>
          <w:tcPr>
            <w:tcW w:type="dxa" w:w="4824"/>
          </w:tcPr>
          <w:p>
            <w:r/>
            <w:r>
              <w:t>Matriz de riesgos</w:t>
            </w:r>
          </w:p>
        </w:tc>
        <w:tc>
          <w:tcPr>
            <w:tcW w:type="dxa" w:w="4824"/>
          </w:tcPr>
          <w:p>
            <w:r/>
            <w:r>
              <w:t>ID-02, GV-03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