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POL-02 · Política de Uso Aceptable de los Sistemas</w:t>
      </w:r>
    </w:p>
    <w:p>
      <w:pPr>
        <w:ind w:left="432"/>
      </w:pPr>
      <w:r>
        <w:rPr>
          <w:i/>
          <w:color w:val="606060"/>
        </w:rPr>
        <w:t>**Función del MCU 5.0:** Proteger (PR.AC — gestión de accesos; PR.DS — protección de datos)</w:t>
      </w:r>
    </w:p>
    <w:p>
      <w:pPr>
        <w:ind w:left="432"/>
      </w:pPr>
      <w:r>
        <w:rPr>
          <w:i/>
          <w:color w:val="606060"/>
        </w:rPr>
        <w:t>**ISO/IEC 27001:** A.5.9 (inventario de activos) · A.5.10-A.5.11 (uso aceptable de activos) · A.8.2 (clasificación) · A.5.31 (requisitos legales)</w:t>
      </w:r>
    </w:p>
    <w:p>
      <w:pPr>
        <w:ind w:left="432"/>
      </w:pPr>
      <w:r>
        <w:rPr>
          <w:i/>
          <w:color w:val="606060"/>
        </w:rPr>
        <w:t>**BCU:** EMG — uso controlado de los recursos tecnológicos del banco</w:t>
      </w:r>
    </w:p>
    <w:p>
      <w:pPr>
        <w:ind w:left="432"/>
      </w:pPr>
      <w:r>
        <w:rPr>
          <w:i/>
          <w:color w:val="606060"/>
        </w:rPr>
        <w:t>**URCDP:** Ley 18.331 — el uso aceptable debe impedir el tratamiento indebido de datos personales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POL-02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Uso Aceptable de los Sistemas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· RRHH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Definir los </w:t>
      </w:r>
      <w:r>
        <w:rPr>
          <w:b/>
        </w:rPr>
        <w:t>usos permitidos y prohibidos</w:t>
      </w:r>
      <w:r>
        <w:t xml:space="preserve"> de los sistemas, equipos, redes y aplicaciones del Banco, protegiendo los activos, la reputación y la información de clientes.</w:t>
      </w:r>
    </w:p>
    <w:p>
      <w:pPr>
        <w:pStyle w:val="Heading3"/>
      </w:pPr>
      <w:r>
        <w:rPr>
          <w:color w:val="1F3B63"/>
        </w:rPr>
        <w:t>2. Alcance</w:t>
      </w:r>
    </w:p>
    <w:p>
      <w:r>
        <w:t xml:space="preserve">Aplica a todo el personal, contratistas y proveedores que usen recursos del Banco, </w:t>
      </w:r>
      <w:r>
        <w:rPr>
          <w:b/>
        </w:rPr>
        <w:t>en sede o en forma remota</w:t>
      </w:r>
      <w:r>
        <w:t>, y a los equipos personales conectados a los sistemas del Banco (BYOD si estuviera autorizado).</w:t>
      </w:r>
    </w:p>
    <w:p>
      <w:pPr>
        <w:pStyle w:val="Heading3"/>
      </w:pPr>
      <w:r>
        <w:rPr>
          <w:color w:val="1F3B63"/>
        </w:rPr>
        <w:t>3. Reglas obligatorias</w:t>
      </w:r>
    </w:p>
    <w:p>
      <w:pPr>
        <w:pStyle w:val="ListBullet"/>
      </w:pPr>
      <w:r>
        <w:t xml:space="preserve">Los sistemas del Banco son </w:t>
      </w:r>
      <w:r>
        <w:rPr>
          <w:b/>
        </w:rPr>
        <w:t>de uso laboral</w:t>
      </w:r>
      <w:r>
        <w:t xml:space="preserve">: el uso personal debe ser </w:t>
      </w:r>
      <w:r>
        <w:rPr>
          <w:b/>
        </w:rPr>
        <w:t>ocasional, no interferir con el trabajo y no generar riesgo</w:t>
      </w:r>
      <w:r>
        <w:t>.</w:t>
      </w:r>
    </w:p>
    <w:p>
      <w:pPr>
        <w:pStyle w:val="ListBullet"/>
      </w:pPr>
      <w:r>
        <w:rPr>
          <w:b/>
        </w:rPr>
        <w:t>Está prohibido:</w:t>
      </w:r>
      <w:r>
        <w:t xml:space="preserve"> descargar software sin autorización, instalar programas no aprobados, evadir controles (VPN, firewall, DLP), compartir credenciales, acceder a recursos sin autorización, y almacenar datos de clientes en dispositivos personales.</w:t>
      </w:r>
    </w:p>
    <w:p>
      <w:pPr>
        <w:pStyle w:val="ListBullet"/>
      </w:pPr>
      <w:r>
        <w:rPr>
          <w:b/>
        </w:rPr>
        <w:t>Está prohibido</w:t>
      </w:r>
      <w:r>
        <w:t xml:space="preserve"> el acceso a sitios de contenido ilegal, ofensivo o de riesgo (phishing, descargas no autorizadas, herramientas de ataque).</w:t>
      </w:r>
    </w:p>
    <w:p>
      <w:pPr>
        <w:pStyle w:val="ListBullet"/>
      </w:pPr>
      <w:r>
        <w:t xml:space="preserve">Las </w:t>
      </w:r>
      <w:r>
        <w:rPr>
          <w:b/>
        </w:rPr>
        <w:t>cuentas son personales e intransferibles</w:t>
      </w:r>
      <w:r>
        <w:t>: nadie puede usar la cuenta de otro (POL-04).</w:t>
      </w:r>
    </w:p>
    <w:p>
      <w:pPr>
        <w:pStyle w:val="ListBullet"/>
      </w:pPr>
      <w:r>
        <w:t xml:space="preserve">El Banco </w:t>
      </w:r>
      <w:r>
        <w:rPr>
          <w:b/>
        </w:rPr>
        <w:t>puede monitorear</w:t>
      </w:r>
      <w:r>
        <w:t xml:space="preserve"> el uso de sus recursos para protegerlos (POL-13) y el personal debe conocerlo.</w:t>
      </w:r>
    </w:p>
    <w:p>
      <w:pPr>
        <w:pStyle w:val="ListBullet"/>
      </w:pPr>
      <w:r>
        <w:t xml:space="preserve">Los datos de clientes </w:t>
      </w:r>
      <w:r>
        <w:rPr>
          <w:b/>
        </w:rPr>
        <w:t>solo se procesan en las herramientas autorizadas</w:t>
      </w:r>
      <w:r>
        <w:t xml:space="preserve"> y con la clasificación correspondiente (POL-03).</w:t>
      </w:r>
    </w:p>
    <w:p>
      <w:pPr>
        <w:pStyle w:val="ListBullet"/>
      </w:pPr>
      <w:r>
        <w:t xml:space="preserve">El uso de herramientas de IA se rige por la </w:t>
      </w:r>
      <w:r>
        <w:rPr>
          <w:b/>
        </w:rPr>
        <w:t>POL-17</w:t>
      </w:r>
      <w:r>
        <w:t xml:space="preserve"> y por el curso de IA (AISEC).</w:t>
      </w:r>
    </w:p>
    <w:p>
      <w:pPr>
        <w:pStyle w:val="ListBullet"/>
      </w:pPr>
      <w:r>
        <w:t xml:space="preserve">Cualquier sospecha de compromiso (phishing recibido, comportamiento anómalo) se </w:t>
      </w:r>
      <w:r>
        <w:rPr>
          <w:b/>
        </w:rPr>
        <w:t>reporta de inmediato</w:t>
      </w:r>
      <w:r>
        <w:t xml:space="preserve"> al RSI (PRO-04).</w:t>
      </w:r>
    </w:p>
    <w:p>
      <w:pPr>
        <w:pStyle w:val="Heading3"/>
      </w:pPr>
      <w:r>
        <w:rPr>
          <w:color w:val="1F3B63"/>
        </w:rPr>
        <w:t>4. Cumplimiento</w:t>
      </w:r>
    </w:p>
    <w:p>
      <w:r>
        <w:t>El incumplimiento se investiga (PCS-03) y puede dar lugar a medidas disciplinarias. El uso indebido con datos personales puede constituir una vulneración notificable (PRO-05).</w:t>
      </w:r>
    </w:p>
    <w:p>
      <w:pPr>
        <w:pStyle w:val="Heading3"/>
      </w:pPr>
      <w:r>
        <w:rPr>
          <w:color w:val="1F3B63"/>
        </w:rPr>
        <w:t>5. Excepciones</w:t>
      </w:r>
    </w:p>
    <w:p>
      <w:r>
        <w:t>Las excepciones al uso aceptable se solicitan formalmente (PRO-11) y se aprueban por escrito.</w:t>
      </w:r>
    </w:p>
    <w:p>
      <w:pPr>
        <w:pStyle w:val="Heading3"/>
      </w:pPr>
      <w:r>
        <w:rPr>
          <w:color w:val="1F3B63"/>
        </w:rPr>
        <w:t>6. Revisión</w:t>
      </w:r>
    </w:p>
    <w:p>
      <w:r>
        <w:t>Revisión anual o ante cambios de infraestructura, herramientas o normativa relevante.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Política aprobada y firmada</w:t>
            </w:r>
          </w:p>
        </w:tc>
        <w:tc>
          <w:tcPr>
            <w:tcW w:type="dxa" w:w="4824"/>
          </w:tcPr>
          <w:p>
            <w:r/>
            <w:r>
              <w:t>GV-01</w:t>
            </w:r>
          </w:p>
        </w:tc>
      </w:tr>
      <w:tr>
        <w:tc>
          <w:tcPr>
            <w:tcW w:type="dxa" w:w="4824"/>
          </w:tcPr>
          <w:p>
            <w:r/>
            <w:r>
              <w:t>Registro de aceptación del personal</w:t>
            </w:r>
          </w:p>
        </w:tc>
        <w:tc>
          <w:tcPr>
            <w:tcW w:type="dxa" w:w="4824"/>
          </w:tcPr>
          <w:p>
            <w:r/>
            <w:r>
              <w:t>PR-02</w:t>
            </w:r>
          </w:p>
        </w:tc>
      </w:tr>
      <w:tr>
        <w:tc>
          <w:tcPr>
            <w:tcW w:type="dxa" w:w="4824"/>
          </w:tcPr>
          <w:p>
            <w:r/>
            <w:r>
              <w:t>Control de acceso y monitoreo</w:t>
            </w:r>
          </w:p>
        </w:tc>
        <w:tc>
          <w:tcPr>
            <w:tcW w:type="dxa" w:w="4824"/>
          </w:tcPr>
          <w:p>
            <w:r/>
            <w:r>
              <w:t>PR-01, DE-01</w:t>
            </w:r>
          </w:p>
        </w:tc>
      </w:tr>
      <w:tr>
        <w:tc>
          <w:tcPr>
            <w:tcW w:type="dxa" w:w="4824"/>
          </w:tcPr>
          <w:p>
            <w:r/>
            <w:r>
              <w:t>Registro de excepciones</w:t>
            </w:r>
          </w:p>
        </w:tc>
        <w:tc>
          <w:tcPr>
            <w:tcW w:type="dxa" w:w="4824"/>
          </w:tcPr>
          <w:p>
            <w:r/>
            <w:r>
              <w:t>GV-06, PRO-11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