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POL-03 · Política de Clasificación y Tratamiento de la Información</w:t>
      </w:r>
    </w:p>
    <w:p>
      <w:pPr>
        <w:ind w:left="432"/>
      </w:pPr>
      <w:r>
        <w:rPr>
          <w:i/>
          <w:color w:val="606060"/>
        </w:rPr>
        <w:t>**Función del MCU 5.0:** Identificar (ID.AM — activos; ID.RA — riesgos) · Proteger (PR.DS — datos)</w:t>
      </w:r>
    </w:p>
    <w:p>
      <w:pPr>
        <w:ind w:left="432"/>
      </w:pPr>
      <w:r>
        <w:rPr>
          <w:i/>
          <w:color w:val="606060"/>
        </w:rPr>
        <w:t>**ISO/IEC 27001:** A.5.12-A.5.13 (clasificación y etiquetado de información) · A.8.2 (clasificación) · A.5.10 (propiedad de activos)</w:t>
      </w:r>
    </w:p>
    <w:p>
      <w:pPr>
        <w:ind w:left="432"/>
      </w:pPr>
      <w:r>
        <w:rPr>
          <w:i/>
          <w:color w:val="606060"/>
        </w:rPr>
        <w:t>**BCU:** EMG — identificación y protección de los activos de información</w:t>
      </w:r>
    </w:p>
    <w:p>
      <w:pPr>
        <w:ind w:left="432"/>
      </w:pPr>
      <w:r>
        <w:rPr>
          <w:i/>
          <w:color w:val="606060"/>
        </w:rPr>
        <w:t>**URCDP:** Ley 18.331 art. 9 y 10 — la clasificación es la base de las medidas de seguridad para datos personales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Clasificación y Tratamiento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Dueños de activos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</w:t>
      </w:r>
      <w:r>
        <w:rPr>
          <w:b/>
        </w:rPr>
        <w:t>cómo se clasifica, etiqueta, almacena, transmite, retiene y destruye</w:t>
      </w:r>
      <w:r>
        <w:t xml:space="preserve"> la información del Banco según su sensibilidad, garantizando la protección acorde al riesgo y al valor del activo.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 la información del Banco, en cualquier formato (papel, digital, correo, base de datos, medios removibles, nube) y en todo su ciclo de vida.</w:t>
      </w:r>
    </w:p>
    <w:p>
      <w:pPr>
        <w:pStyle w:val="Heading3"/>
      </w:pPr>
      <w:r>
        <w:rPr>
          <w:color w:val="1F3B63"/>
        </w:rPr>
        <w:t>3. Niveles de clasificación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PÚBLICO</w:t>
            </w:r>
          </w:p>
        </w:tc>
        <w:tc>
          <w:tcPr>
            <w:tcW w:type="dxa" w:w="3216"/>
          </w:tcPr>
          <w:p>
            <w:r/>
            <w:r>
              <w:t>Información de acceso público autorizado</w:t>
            </w:r>
          </w:p>
        </w:tc>
        <w:tc>
          <w:tcPr>
            <w:tcW w:type="dxa" w:w="3216"/>
          </w:tcPr>
          <w:p>
            <w:r/>
            <w:r>
              <w:t>Comunicados oficiales, folletos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USO INTERNO</w:t>
            </w:r>
          </w:p>
        </w:tc>
        <w:tc>
          <w:tcPr>
            <w:tcW w:type="dxa" w:w="3216"/>
          </w:tcPr>
          <w:p>
            <w:r/>
            <w:r>
              <w:t>Para uso interno del Banco, sin datos personales</w:t>
            </w:r>
          </w:p>
        </w:tc>
        <w:tc>
          <w:tcPr>
            <w:tcW w:type="dxa" w:w="3216"/>
          </w:tcPr>
          <w:p>
            <w:r/>
            <w:r>
              <w:t>Políticas, procedimientos internos, organigramas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CONFIDENCIAL</w:t>
            </w:r>
          </w:p>
        </w:tc>
        <w:tc>
          <w:tcPr>
            <w:tcW w:type="dxa" w:w="3216"/>
          </w:tcPr>
          <w:p>
            <w:r/>
            <w:r>
              <w:t>Acceso restringido; puede contener datos personales</w:t>
            </w:r>
          </w:p>
        </w:tc>
        <w:tc>
          <w:tcPr>
            <w:tcW w:type="dxa" w:w="3216"/>
          </w:tcPr>
          <w:p>
            <w:r/>
            <w:r>
              <w:t>Datos de clientes, informes de riesgo, contratos, estrategia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MUY CONFIDENCIAL</w:t>
            </w:r>
          </w:p>
        </w:tc>
        <w:tc>
          <w:tcPr>
            <w:tcW w:type="dxa" w:w="3216"/>
          </w:tcPr>
          <w:p>
            <w:r/>
            <w:r>
              <w:t>Acceso muy restringido; riesgo alto si se divulga</w:t>
            </w:r>
          </w:p>
        </w:tc>
        <w:tc>
          <w:tcPr>
            <w:tcW w:type="dxa" w:w="3216"/>
          </w:tcPr>
          <w:p>
            <w:r/>
            <w:r>
              <w:t>Credenciales, claves, datos biométricos, información de auditoría en curso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rPr>
          <w:b/>
        </w:rPr>
        <w:t>Todo documento y activo de información se clasifica</w:t>
      </w:r>
      <w:r>
        <w:t xml:space="preserve"> en su creación (PRO-09).</w:t>
      </w:r>
    </w:p>
    <w:p>
      <w:pPr>
        <w:pStyle w:val="ListBullet"/>
      </w:pPr>
      <w:r>
        <w:t xml:space="preserve">La información se </w:t>
      </w:r>
      <w:r>
        <w:rPr>
          <w:b/>
        </w:rPr>
        <w:t>etiqueta</w:t>
      </w:r>
      <w:r>
        <w:t xml:space="preserve"> (membrete, metadato, campo) según su nivel.</w:t>
      </w:r>
    </w:p>
    <w:p>
      <w:pPr>
        <w:pStyle w:val="ListBullet"/>
      </w:pPr>
      <w:r>
        <w:t xml:space="preserve">El </w:t>
      </w:r>
      <w:r>
        <w:rPr>
          <w:b/>
        </w:rPr>
        <w:t>acceso</w:t>
      </w:r>
      <w:r>
        <w:t xml:space="preserve"> a cada nivel se controla (POL-04): los niveles CONFIDENCIAL y MUY CONFIDENCIAL requieren autorización expresa.</w:t>
      </w:r>
    </w:p>
    <w:p>
      <w:pPr>
        <w:pStyle w:val="ListBullet"/>
      </w:pPr>
      <w:r>
        <w:t xml:space="preserve">La </w:t>
      </w:r>
      <w:r>
        <w:rPr>
          <w:b/>
        </w:rPr>
        <w:t>transmisión</w:t>
      </w:r>
      <w:r>
        <w:t xml:space="preserve"> de información confidencial usa canales cifrados (POL-14) y </w:t>
      </w:r>
      <w:r>
        <w:rPr>
          <w:b/>
        </w:rPr>
        <w:t>no sale del Banco sin autorización</w:t>
      </w:r>
      <w:r>
        <w:t>.</w:t>
      </w:r>
    </w:p>
    <w:p>
      <w:pPr>
        <w:pStyle w:val="ListBullet"/>
      </w:pPr>
      <w:r>
        <w:t xml:space="preserve">La </w:t>
      </w:r>
      <w:r>
        <w:rPr>
          <w:b/>
        </w:rPr>
        <w:t>retención</w:t>
      </w:r>
      <w:r>
        <w:t xml:space="preserve"> sigue el cuadro de plazos del Banco y la normativa (BCU/URCDP); al vencerse, se </w:t>
      </w:r>
      <w:r>
        <w:rPr>
          <w:b/>
        </w:rPr>
        <w:t>destruye de forma segura</w:t>
      </w:r>
      <w:r>
        <w:t xml:space="preserve"> (PRO-09).</w:t>
      </w:r>
    </w:p>
    <w:p>
      <w:pPr>
        <w:pStyle w:val="ListBullet"/>
      </w:pPr>
      <w:r>
        <w:t xml:space="preserve">Los datos personales se tratan conforme a la </w:t>
      </w:r>
      <w:r>
        <w:rPr>
          <w:b/>
        </w:rPr>
        <w:t>POL-20</w:t>
      </w:r>
      <w:r>
        <w:t xml:space="preserve"> (minimización, finalidad, base legal).</w:t>
      </w:r>
    </w:p>
    <w:p>
      <w:pPr>
        <w:pStyle w:val="ListBullet"/>
      </w:pPr>
      <w:r>
        <w:t xml:space="preserve">La información </w:t>
      </w:r>
      <w:r>
        <w:rPr>
          <w:b/>
        </w:rPr>
        <w:t>no se degrada de nivel</w:t>
      </w:r>
      <w:r>
        <w:t xml:space="preserve"> sin autorización de su dueño.</w:t>
      </w:r>
    </w:p>
    <w:p>
      <w:pPr>
        <w:pStyle w:val="Heading3"/>
      </w:pPr>
      <w:r>
        <w:rPr>
          <w:color w:val="1F3B63"/>
        </w:rPr>
        <w:t>5. Cumplimiento</w:t>
      </w:r>
    </w:p>
    <w:p>
      <w:r>
        <w:t>El tratamiento indebido de información clasificada (especialmente CONFIDENCIAL/MUY CONFIDENCIAL) se investiga como incidente y puede implicar medidas disciplinarias y notificaciones legales (PRO-05).</w:t>
      </w:r>
    </w:p>
    <w:p>
      <w:pPr>
        <w:pStyle w:val="Heading3"/>
      </w:pPr>
      <w:r>
        <w:rPr>
          <w:color w:val="1F3B63"/>
        </w:rPr>
        <w:t>6. Excepciones</w:t>
      </w:r>
    </w:p>
    <w:p>
      <w:r>
        <w:t>Solo por el procedimiento de excepciones (PRO-11), con autorización del dueño del activo y del RSI.</w:t>
      </w:r>
    </w:p>
    <w:p>
      <w:pPr>
        <w:pStyle w:val="Heading3"/>
      </w:pPr>
      <w:r>
        <w:rPr>
          <w:color w:val="1F3B63"/>
        </w:rPr>
        <w:t>7. Revisión</w:t>
      </w:r>
    </w:p>
    <w:p>
      <w:r>
        <w:t>Revisión anual o ante cambios de normativa, de negocio o de estructura.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Inventario de activos clasificado</w:t>
            </w:r>
          </w:p>
        </w:tc>
        <w:tc>
          <w:tcPr>
            <w:tcW w:type="dxa" w:w="4824"/>
          </w:tcPr>
          <w:p>
            <w:r/>
            <w:r>
              <w:t>ID-01</w:t>
            </w:r>
          </w:p>
        </w:tc>
      </w:tr>
      <w:tr>
        <w:tc>
          <w:tcPr>
            <w:tcW w:type="dxa" w:w="4824"/>
          </w:tcPr>
          <w:p>
            <w:r/>
            <w:r>
              <w:t>Procedimiento de clasificación</w:t>
            </w:r>
          </w:p>
        </w:tc>
        <w:tc>
          <w:tcPr>
            <w:tcW w:type="dxa" w:w="4824"/>
          </w:tcPr>
          <w:p>
            <w:r/>
            <w:r>
              <w:t>PRO-09</w:t>
            </w:r>
          </w:p>
        </w:tc>
      </w:tr>
      <w:tr>
        <w:tc>
          <w:tcPr>
            <w:tcW w:type="dxa" w:w="4824"/>
          </w:tcPr>
          <w:p>
            <w:r/>
            <w:r>
              <w:t>Política de datos personales</w:t>
            </w:r>
          </w:p>
        </w:tc>
        <w:tc>
          <w:tcPr>
            <w:tcW w:type="dxa" w:w="4824"/>
          </w:tcPr>
          <w:p>
            <w:r/>
            <w:r>
              <w:t>POL-20, URCDP-01</w:t>
            </w:r>
          </w:p>
        </w:tc>
      </w:tr>
      <w:tr>
        <w:tc>
          <w:tcPr>
            <w:tcW w:type="dxa" w:w="4824"/>
          </w:tcPr>
          <w:p>
            <w:r/>
            <w:r>
              <w:t>Registro de destrucción</w:t>
            </w:r>
          </w:p>
        </w:tc>
        <w:tc>
          <w:tcPr>
            <w:tcW w:type="dxa" w:w="4824"/>
          </w:tcPr>
          <w:p>
            <w:r/>
            <w:r>
              <w:t>PRO-09, PR-03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