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POL-04 · Política de Gestión de Accesos y Privilegios</w:t>
      </w:r>
    </w:p>
    <w:p>
      <w:pPr>
        <w:ind w:left="432"/>
      </w:pPr>
      <w:r>
        <w:rPr>
          <w:i/>
          <w:color w:val="606060"/>
        </w:rPr>
        <w:t>**Función del MCU 5.0:** Proteger (PR.AC — identidad y control de acceso)</w:t>
      </w:r>
    </w:p>
    <w:p>
      <w:pPr>
        <w:ind w:left="432"/>
      </w:pPr>
      <w:r>
        <w:rPr>
          <w:i/>
          <w:color w:val="606060"/>
        </w:rPr>
        <w:t>**ISO/IEC 27001:** A.5.15 (control de acceso) · A.8.2-A.8.6 (gestión de cuentas, privilegios, revisión) · A.5.18 (menor privilegio)</w:t>
      </w:r>
    </w:p>
    <w:p>
      <w:pPr>
        <w:ind w:left="432"/>
      </w:pPr>
      <w:r>
        <w:rPr>
          <w:i/>
          <w:color w:val="606060"/>
        </w:rPr>
        <w:t>**BCU:** EMG — gestión de accesos es uno de los riesgos de TIC más frecuentemente auditados</w:t>
      </w:r>
    </w:p>
    <w:p>
      <w:pPr>
        <w:ind w:left="432"/>
      </w:pPr>
      <w:r>
        <w:rPr>
          <w:i/>
          <w:color w:val="606060"/>
        </w:rPr>
        <w:t>**URCDP:** Ley 18.331 — los accesos a datos personales deben ser mínimos y trazables (PD.5)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Accesos y Privilegios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Div.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RRHH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</w:t>
      </w:r>
      <w:r>
        <w:rPr>
          <w:b/>
        </w:rPr>
        <w:t>cada usuario acceda solo a lo que necesita para su función</w:t>
      </w:r>
      <w:r>
        <w:t xml:space="preserve"> (menor privilegio), que las cuentas se creen, modifiquen y eliminen de forma controlada, y que el acceso sea trazable.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todas las cuentas de usuario, cuentas de servicio, cuentas administrativas, sistemas, aplicaciones, bases de datos, redes y accesos físicos del Banco.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Identificación única:</w:t>
      </w:r>
      <w:r>
        <w:t xml:space="preserve"> cada persona tiene su cuenta personal; están prohibidas las cuentas compartidas (salvo autorización excepcional con registro).</w:t>
      </w:r>
    </w:p>
    <w:p>
      <w:pPr>
        <w:pStyle w:val="ListBullet"/>
      </w:pPr>
      <w:r>
        <w:rPr>
          <w:b/>
        </w:rPr>
        <w:t>Menor privilegio:</w:t>
      </w:r>
      <w:r>
        <w:t xml:space="preserve"> los permisos se otorgan al mínimo necesario para la función.</w:t>
      </w:r>
    </w:p>
    <w:p>
      <w:pPr>
        <w:pStyle w:val="ListBullet"/>
      </w:pPr>
      <w:r>
        <w:rPr>
          <w:b/>
        </w:rPr>
        <w:t>Cuentas administrativas:</w:t>
      </w:r>
      <w:r>
        <w:t xml:space="preserve"> se usan solo para tareas administrativas; se crean con nombre específico, no se comparten y sus acciones se registran (POL-13).</w:t>
      </w:r>
    </w:p>
    <w:p>
      <w:pPr>
        <w:pStyle w:val="ListBullet"/>
      </w:pPr>
      <w:r>
        <w:rPr>
          <w:b/>
        </w:rPr>
        <w:t>Autenticación fuerte:</w:t>
      </w:r>
      <w:r>
        <w:t xml:space="preserve"> se exige contraseña robusta (POL-14) y </w:t>
      </w:r>
      <w:r>
        <w:rPr>
          <w:b/>
        </w:rPr>
        <w:t>MFA</w:t>
      </w:r>
      <w:r>
        <w:t xml:space="preserve"> para accesos administrativos, remotos y aplicaciones sensibles.</w:t>
      </w:r>
    </w:p>
    <w:p>
      <w:pPr>
        <w:pStyle w:val="ListBullet"/>
      </w:pPr>
      <w:r>
        <w:rPr>
          <w:b/>
        </w:rPr>
        <w:t>Altas y bajas:</w:t>
      </w:r>
      <w:r>
        <w:t xml:space="preserve"> el acceso se otorga tras la solicitud aprobada (PRO-01) y se </w:t>
      </w:r>
      <w:r>
        <w:rPr>
          <w:b/>
        </w:rPr>
        <w:t>revoca de inmediato</w:t>
      </w:r>
      <w:r>
        <w:t xml:space="preserve"> en la baja de personal (PRO-08).</w:t>
      </w:r>
    </w:p>
    <w:p>
      <w:pPr>
        <w:pStyle w:val="ListBullet"/>
      </w:pPr>
      <w:r>
        <w:rPr>
          <w:b/>
        </w:rPr>
        <w:t>Revisión periódica:</w:t>
      </w:r>
      <w:r>
        <w:t xml:space="preserve"> los accesos y privilegios se revisan al menos </w:t>
      </w:r>
      <w:r>
        <w:rPr>
          <w:b/>
        </w:rPr>
        <w:t>cada 6 meses</w:t>
      </w:r>
      <w:r>
        <w:t xml:space="preserve"> (PRO-02); los privilegios administrativos, cada 3 meses.</w:t>
      </w:r>
    </w:p>
    <w:p>
      <w:pPr>
        <w:pStyle w:val="ListBullet"/>
      </w:pPr>
      <w:r>
        <w:rPr>
          <w:b/>
        </w:rPr>
        <w:t>Segregación de funciones:</w:t>
      </w:r>
      <w:r>
        <w:t xml:space="preserve"> quien autoriza no ejecuta y quien audita no autoriza (para procesos críticos: pagos, cambios, accesos).</w:t>
      </w:r>
    </w:p>
    <w:p>
      <w:pPr>
        <w:pStyle w:val="ListBullet"/>
      </w:pPr>
      <w:r>
        <w:rPr>
          <w:b/>
        </w:rPr>
        <w:t>Registro:</w:t>
      </w:r>
      <w:r>
        <w:t xml:space="preserve"> toda concesión, modificación y revocación de acceso queda registrada (PCS-04).</w:t>
      </w:r>
    </w:p>
    <w:p>
      <w:pPr>
        <w:pStyle w:val="Heading3"/>
      </w:pPr>
      <w:r>
        <w:rPr>
          <w:color w:val="1F3B63"/>
        </w:rPr>
        <w:t>4. Cumplimiento</w:t>
      </w:r>
    </w:p>
    <w:p>
      <w:r>
        <w:t>Los accesos no autorizados o las cuentas sin revisar se tratan como hallazgos de seguridad. El uso indebido de cuentas se investiga (PCS-03) y puede dar lugar a medidas disciplinarias.</w:t>
      </w:r>
    </w:p>
    <w:p>
      <w:pPr>
        <w:pStyle w:val="Heading3"/>
      </w:pPr>
      <w:r>
        <w:rPr>
          <w:color w:val="1F3B63"/>
        </w:rPr>
        <w:t>5. Excepciones</w:t>
      </w:r>
    </w:p>
    <w:p>
      <w:r>
        <w:t>Las excepciones (cuentas compartidas, privilegios temporales) se solicitan por PRO-11 y se aprueban con plazo de caducidad y registro.</w:t>
      </w:r>
    </w:p>
    <w:p>
      <w:pPr>
        <w:pStyle w:val="Heading3"/>
      </w:pPr>
      <w:r>
        <w:rPr>
          <w:color w:val="1F3B63"/>
        </w:rPr>
        <w:t>6. Revisión</w:t>
      </w:r>
    </w:p>
    <w:p>
      <w:r>
        <w:t>Revisión anual de la política; revisión semestral de accesos; revisión trimestral de privilegios administrativos.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Solicitudes de acceso aprobadas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Revisión periódica de accesos</w:t>
            </w:r>
          </w:p>
        </w:tc>
        <w:tc>
          <w:tcPr>
            <w:tcW w:type="dxa" w:w="4824"/>
          </w:tcPr>
          <w:p>
            <w:r/>
            <w:r>
              <w:t>PR-01, PRO-02</w:t>
            </w:r>
          </w:p>
        </w:tc>
      </w:tr>
      <w:tr>
        <w:tc>
          <w:tcPr>
            <w:tcW w:type="dxa" w:w="4824"/>
          </w:tcPr>
          <w:p>
            <w:r/>
            <w:r>
              <w:t>Registro de altas/bajas</w:t>
            </w:r>
          </w:p>
        </w:tc>
        <w:tc>
          <w:tcPr>
            <w:tcW w:type="dxa" w:w="4824"/>
          </w:tcPr>
          <w:p>
            <w:r/>
            <w:r>
              <w:t>PRO-01, PRO-08</w:t>
            </w:r>
          </w:p>
        </w:tc>
      </w:tr>
      <w:tr>
        <w:tc>
          <w:tcPr>
            <w:tcW w:type="dxa" w:w="4824"/>
          </w:tcPr>
          <w:p>
            <w:r/>
            <w:r>
              <w:t>Bitácora de cuentas administrativas</w:t>
            </w:r>
          </w:p>
        </w:tc>
        <w:tc>
          <w:tcPr>
            <w:tcW w:type="dxa" w:w="4824"/>
          </w:tcPr>
          <w:p>
            <w:r/>
            <w:r>
              <w:t>DE-01, POL-13</w:t>
            </w:r>
          </w:p>
        </w:tc>
      </w:tr>
      <w:tr>
        <w:tc>
          <w:tcPr>
            <w:tcW w:type="dxa" w:w="4824"/>
          </w:tcPr>
          <w:p>
            <w:r/>
            <w:r>
              <w:t>Excepciones y caducidades</w:t>
            </w:r>
          </w:p>
        </w:tc>
        <w:tc>
          <w:tcPr>
            <w:tcW w:type="dxa" w:w="4824"/>
          </w:tcPr>
          <w:p>
            <w:r/>
            <w:r>
              <w:t>GV-06, PRO-11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