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B63"/>
          <w:sz w:val="36"/>
        </w:rPr>
        <w:t>POL-07 · Política de Gestión de Incidentes y Respuesta</w:t>
      </w:r>
    </w:p>
    <w:p>
      <w:pPr>
        <w:ind w:left="432"/>
      </w:pPr>
      <w:r>
        <w:rPr>
          <w:i/>
          <w:color w:val="606060"/>
        </w:rPr>
        <w:t>**Función del MCU 5.0:** Detectar (DE) · Responder (RS) · Recuperar (RC)</w:t>
      </w:r>
    </w:p>
    <w:p>
      <w:pPr>
        <w:ind w:left="432"/>
      </w:pPr>
      <w:r>
        <w:rPr>
          <w:i/>
          <w:color w:val="606060"/>
        </w:rPr>
        <w:t>**ISO/IEC 27001:** A.5.24-A.5.28 (gestión de incidentes, mejora) · A.8.15-A.8.16 (registros)</w:t>
      </w:r>
    </w:p>
    <w:p>
      <w:pPr>
        <w:ind w:left="432"/>
      </w:pPr>
      <w:r>
        <w:rPr>
          <w:i/>
          <w:color w:val="606060"/>
        </w:rPr>
        <w:t>**BCU:** RNRCSF — gestión de incidentes y notificación de eventos de ciberseguridad</w:t>
      </w:r>
    </w:p>
    <w:p>
      <w:pPr>
        <w:ind w:left="432"/>
      </w:pPr>
      <w:r>
        <w:rPr>
          <w:i/>
          <w:color w:val="606060"/>
        </w:rPr>
        <w:t>**URCDP:** Ley 18.331 art. 27-bis · Decreto 64/020 — notificación de vulneraciones de datos personales en 72 horas</w:t>
      </w:r>
    </w:p>
    <w:p>
      <w:pPr>
        <w:ind w:left="432"/>
      </w:pPr>
      <w:r>
        <w:rPr>
          <w:i/>
          <w:color w:val="606060"/>
        </w:rPr>
        <w:t>**Decreto 66/025:** Notificación de incidentes al CERTuy</w:t>
      </w:r>
    </w:p>
    <w:p>
      <w:pPr>
        <w:ind w:left="432"/>
      </w:pPr>
      <w:r>
        <w:rPr>
          <w:i/>
          <w:color w:val="606060"/>
        </w:rPr>
        <w:t>**Nivel del curso:** 🔴 Dominar</w:t>
      </w:r>
    </w:p>
    <w:p>
      <w:pPr>
        <w:spacing w:before="120" w:after="120"/>
      </w:pPr>
    </w:p>
    <w:p>
      <w:pPr>
        <w:pStyle w:val="Heading3"/>
      </w:pPr>
      <w:r>
        <w:rPr>
          <w:color w:val="1F3B63"/>
        </w:rPr>
        <w:t>ENCABEZADO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Campo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Valor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Código</w:t>
            </w:r>
          </w:p>
        </w:tc>
        <w:tc>
          <w:tcPr>
            <w:tcW w:type="dxa" w:w="4824"/>
          </w:tcPr>
          <w:p>
            <w:r/>
            <w:r>
              <w:t>POL-07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Título</w:t>
            </w:r>
          </w:p>
        </w:tc>
        <w:tc>
          <w:tcPr>
            <w:tcW w:type="dxa" w:w="4824"/>
          </w:tcPr>
          <w:p>
            <w:r/>
            <w:r>
              <w:t>Gestión de Incidentes y Respuesta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Versión</w:t>
            </w:r>
          </w:p>
        </w:tc>
        <w:tc>
          <w:tcPr>
            <w:tcW w:type="dxa" w:w="4824"/>
          </w:tcPr>
          <w:p>
            <w:r/>
            <w:r>
              <w:t>1.0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Estado</w:t>
            </w:r>
          </w:p>
        </w:tc>
        <w:tc>
          <w:tcPr>
            <w:tcW w:type="dxa" w:w="4824"/>
          </w:tcPr>
          <w:p>
            <w:r/>
            <w:r>
              <w:t>[Borrador / En revisión / Aprobado]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Fecha de aprobación</w:t>
            </w:r>
          </w:p>
        </w:tc>
        <w:tc>
          <w:tcPr>
            <w:tcW w:type="dxa" w:w="4824"/>
          </w:tcPr>
          <w:p>
            <w:r/>
            <w:r>
              <w:t>[COMPLETAR]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Elaborado por</w:t>
            </w:r>
          </w:p>
        </w:tc>
        <w:tc>
          <w:tcPr>
            <w:tcW w:type="dxa" w:w="4824"/>
          </w:tcPr>
          <w:p>
            <w:r/>
            <w:r>
              <w:t>RSI + CSIRT del Banco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Revisado por</w:t>
            </w:r>
          </w:p>
        </w:tc>
        <w:tc>
          <w:tcPr>
            <w:tcW w:type="dxa" w:w="4824"/>
          </w:tcPr>
          <w:p>
            <w:r/>
            <w:r>
              <w:t>Comité de Seguridad · Comunicación · Legales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Aprobado por</w:t>
            </w:r>
          </w:p>
        </w:tc>
        <w:tc>
          <w:tcPr>
            <w:tcW w:type="dxa" w:w="4824"/>
          </w:tcPr>
          <w:p>
            <w:r/>
            <w:r>
              <w:t>Dirección General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Clasificación</w:t>
            </w:r>
          </w:p>
        </w:tc>
        <w:tc>
          <w:tcPr>
            <w:tcW w:type="dxa" w:w="4824"/>
          </w:tcPr>
          <w:p>
            <w:r/>
            <w:r>
              <w:t>Confidencial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Próxima revisión</w:t>
            </w:r>
          </w:p>
        </w:tc>
        <w:tc>
          <w:tcPr>
            <w:tcW w:type="dxa" w:w="4824"/>
          </w:tcPr>
          <w:p>
            <w:r/>
            <w:r>
              <w:t>[Fecha, máx. 1 año]</w:t>
            </w:r>
          </w:p>
        </w:tc>
      </w:tr>
    </w:tbl>
    <w:p>
      <w:pPr>
        <w:pStyle w:val="Heading3"/>
      </w:pPr>
      <w:r>
        <w:rPr>
          <w:color w:val="1F3B63"/>
        </w:rPr>
        <w:t>1. Objetivo</w:t>
      </w:r>
    </w:p>
    <w:p>
      <w:r>
        <w:t xml:space="preserve">Definir cómo el Banco </w:t>
      </w:r>
      <w:r>
        <w:rPr>
          <w:b/>
        </w:rPr>
        <w:t>detecta, clasifica, contiene, erradica, recupera y aprende</w:t>
      </w:r>
      <w:r>
        <w:t xml:space="preserve"> de los incidentes de seguridad, protegiendo la evidencia, cumpliendo las obligaciones de notificación (URCDP, CERTuy, BCU) y minimizando el impacto.</w:t>
      </w:r>
    </w:p>
    <w:p>
      <w:pPr>
        <w:pStyle w:val="Heading3"/>
      </w:pPr>
      <w:r>
        <w:rPr>
          <w:color w:val="1F3B63"/>
        </w:rPr>
        <w:t>2. Alcance</w:t>
      </w:r>
    </w:p>
    <w:p>
      <w:r>
        <w:t>Aplica a todo incidente o sospecha de incidente que afecte la confidencialidad, integridad o disponibilidad de la información o los sistemas del Banco, incluidos incidentes de datos personales.</w:t>
      </w:r>
    </w:p>
    <w:p>
      <w:pPr>
        <w:pStyle w:val="Heading3"/>
      </w:pPr>
      <w:r>
        <w:rPr>
          <w:color w:val="1F3B63"/>
        </w:rPr>
        <w:t>3. Clasificación de incidentes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Nivel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Respuesta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N1 Crítico</w:t>
            </w:r>
          </w:p>
        </w:tc>
        <w:tc>
          <w:tcPr>
            <w:tcW w:type="dxa" w:w="3216"/>
          </w:tcPr>
          <w:p>
            <w:r/>
            <w:r>
              <w:t>Impacto alto en negocio o datos (ransomware, fuga masiva, indisponibilidad de servicios críticos)</w:t>
            </w:r>
          </w:p>
        </w:tc>
        <w:tc>
          <w:tcPr>
            <w:tcW w:type="dxa" w:w="3216"/>
          </w:tcPr>
          <w:p>
            <w:r/>
            <w:r>
              <w:t>CSIRT + crisis; notificación según plazos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N2 Alto</w:t>
            </w:r>
          </w:p>
        </w:tc>
        <w:tc>
          <w:tcPr>
            <w:tcW w:type="dxa" w:w="3216"/>
          </w:tcPr>
          <w:p>
            <w:r/>
            <w:r>
              <w:t>Impacto medio-alto (cuenta comprometida, malware en estaciones)</w:t>
            </w:r>
          </w:p>
        </w:tc>
        <w:tc>
          <w:tcPr>
            <w:tcW w:type="dxa" w:w="3216"/>
          </w:tcPr>
          <w:p>
            <w:r/>
            <w:r>
              <w:t>CSIRT; contención en 4 h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N3 Medio</w:t>
            </w:r>
          </w:p>
        </w:tc>
        <w:tc>
          <w:tcPr>
            <w:tcW w:type="dxa" w:w="3216"/>
          </w:tcPr>
          <w:p>
            <w:r/>
            <w:r>
              <w:t>Impacto bajo-medio (phishing reportado, escaneo sospechoso)</w:t>
            </w:r>
          </w:p>
        </w:tc>
        <w:tc>
          <w:tcPr>
            <w:tcW w:type="dxa" w:w="3216"/>
          </w:tcPr>
          <w:p>
            <w:r/>
            <w:r>
              <w:t>Respuesta operativa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N4 Bajo</w:t>
            </w:r>
          </w:p>
        </w:tc>
        <w:tc>
          <w:tcPr>
            <w:tcW w:type="dxa" w:w="3216"/>
          </w:tcPr>
          <w:p>
            <w:r/>
            <w:r>
              <w:t>Sospecha o evento menor</w:t>
            </w:r>
          </w:p>
        </w:tc>
        <w:tc>
          <w:tcPr>
            <w:tcW w:type="dxa" w:w="3216"/>
          </w:tcPr>
          <w:p>
            <w:r/>
            <w:r>
              <w:t>Registro y monitoreo</w:t>
            </w:r>
          </w:p>
        </w:tc>
      </w:tr>
    </w:tbl>
    <w:p>
      <w:pPr>
        <w:pStyle w:val="Heading3"/>
      </w:pPr>
      <w:r>
        <w:rPr>
          <w:color w:val="1F3B63"/>
        </w:rPr>
        <w:t>4. Reglas obligatorias</w:t>
      </w:r>
    </w:p>
    <w:p>
      <w:pPr>
        <w:pStyle w:val="ListBullet"/>
      </w:pPr>
      <w:r>
        <w:rPr>
          <w:b/>
        </w:rPr>
        <w:t>Todo el personal</w:t>
      </w:r>
      <w:r>
        <w:t xml:space="preserve"> debe reportar incidentes y sospechas (PRO-04) por el canal establecido, sin demora.</w:t>
      </w:r>
    </w:p>
    <w:p>
      <w:pPr>
        <w:pStyle w:val="ListBullet"/>
      </w:pPr>
      <w:r>
        <w:rPr>
          <w:b/>
        </w:rPr>
        <w:t>No se apagan máquinas ni se "investiga por cuenta propia"</w:t>
      </w:r>
      <w:r>
        <w:t xml:space="preserve"> antes de preservar evidencia (orden de volatilidad).</w:t>
      </w:r>
    </w:p>
    <w:p>
      <w:pPr>
        <w:pStyle w:val="ListBullet"/>
      </w:pPr>
      <w:r>
        <w:t xml:space="preserve">El CSIRT/RSI es el </w:t>
      </w:r>
      <w:r>
        <w:rPr>
          <w:b/>
        </w:rPr>
        <w:t>único canal oficial</w:t>
      </w:r>
      <w:r>
        <w:t xml:space="preserve"> de respuesta; las comunicaciones externas se coordinan con Legales/Comunicación.</w:t>
      </w:r>
    </w:p>
    <w:p>
      <w:pPr>
        <w:pStyle w:val="ListBullet"/>
      </w:pPr>
      <w:r>
        <w:t xml:space="preserve">Toda respuesta se </w:t>
      </w:r>
      <w:r>
        <w:rPr>
          <w:b/>
        </w:rPr>
        <w:t>registra</w:t>
      </w:r>
      <w:r>
        <w:t xml:space="preserve"> (bitácora de incidentes, PCS-03) y las evidencias se preservan con cadena de custodia.</w:t>
      </w:r>
    </w:p>
    <w:p>
      <w:pPr>
        <w:pStyle w:val="ListBullet"/>
      </w:pPr>
      <w:r>
        <w:rPr>
          <w:b/>
        </w:rPr>
        <w:t>Notificaciones</w:t>
      </w:r>
      <w:r>
        <w:t xml:space="preserve"> según plazos legales (PRO-05): URCDP (72 h, datos personales), CERTuy (Decreto 66/025), BCU.</w:t>
      </w:r>
    </w:p>
    <w:p>
      <w:pPr>
        <w:pStyle w:val="ListBullet"/>
      </w:pPr>
      <w:r>
        <w:t xml:space="preserve">Las </w:t>
      </w:r>
      <w:r>
        <w:rPr>
          <w:b/>
        </w:rPr>
        <w:t>lecciones aprendidas</w:t>
      </w:r>
      <w:r>
        <w:t xml:space="preserve"> se documentan y generan mejoras (RC-04).</w:t>
      </w:r>
    </w:p>
    <w:p>
      <w:pPr>
        <w:pStyle w:val="Heading3"/>
      </w:pPr>
      <w:r>
        <w:rPr>
          <w:color w:val="1F3B63"/>
        </w:rPr>
        <w:t>5. Equipo y funciones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Rol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Función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RSI</w:t>
            </w:r>
          </w:p>
        </w:tc>
        <w:tc>
          <w:tcPr>
            <w:tcW w:type="dxa" w:w="4824"/>
          </w:tcPr>
          <w:p>
            <w:r/>
            <w:r>
              <w:t>Conduce la respuesta, decide clasificación y notificaciones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CSIRT / Operaciones de Seguridad</w:t>
            </w:r>
          </w:p>
        </w:tc>
        <w:tc>
          <w:tcPr>
            <w:tcW w:type="dxa" w:w="4824"/>
          </w:tcPr>
          <w:p>
            <w:r/>
            <w:r>
              <w:t>Analiza, contiene y erradica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Div. TI / Producción</w:t>
            </w:r>
          </w:p>
        </w:tc>
        <w:tc>
          <w:tcPr>
            <w:tcW w:type="dxa" w:w="4824"/>
          </w:tcPr>
          <w:p>
            <w:r/>
            <w:r>
              <w:t>Recupera servicios y aplica remediación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Legales</w:t>
            </w:r>
          </w:p>
        </w:tc>
        <w:tc>
          <w:tcPr>
            <w:tcW w:type="dxa" w:w="4824"/>
          </w:tcPr>
          <w:p>
            <w:r/>
            <w:r>
              <w:t>Asesora en obligaciones y comunicación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Comunicación</w:t>
            </w:r>
          </w:p>
        </w:tc>
        <w:tc>
          <w:tcPr>
            <w:tcW w:type="dxa" w:w="4824"/>
          </w:tcPr>
          <w:p>
            <w:r/>
            <w:r>
              <w:t>Gestiona la comunicación interna/externa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DPD</w:t>
            </w:r>
          </w:p>
        </w:tc>
        <w:tc>
          <w:tcPr>
            <w:tcW w:type="dxa" w:w="4824"/>
          </w:tcPr>
          <w:p>
            <w:r/>
            <w:r>
              <w:t>Evalúa la notificación de datos personales</w:t>
            </w:r>
          </w:p>
        </w:tc>
      </w:tr>
    </w:tbl>
    <w:p>
      <w:pPr>
        <w:pStyle w:val="Heading3"/>
      </w:pPr>
      <w:r>
        <w:rPr>
          <w:color w:val="1F3B63"/>
        </w:rPr>
        <w:t>6. Cumplimiento</w:t>
      </w:r>
    </w:p>
    <w:p>
      <w:r>
        <w:t>Ocultar o retrasar el reporte de un incidente es falta grave. La no notificación de vulneraciones de datos personales expone al Banco a sanciones de la URCDP (Ley 18.331 art. 39).</w:t>
      </w:r>
    </w:p>
    <w:p>
      <w:pPr>
        <w:pStyle w:val="Heading3"/>
      </w:pPr>
      <w:r>
        <w:rPr>
          <w:color w:val="1F3B63"/>
        </w:rPr>
        <w:t>7. Excepciones y revisión</w:t>
      </w:r>
    </w:p>
    <w:p>
      <w:r>
        <w:t>No aplica excepciones a la obligación de reportar. Revisión anual de la política, del proceso (PCS-03) y de los procedimientos (PRO-04, PRO-05); simulacros periódicos.</w:t>
      </w:r>
    </w:p>
    <w:p>
      <w:pPr>
        <w:pStyle w:val="Heading3"/>
      </w:pPr>
      <w:r>
        <w:rPr>
          <w:color w:val="1F3B63"/>
        </w:rPr>
        <w:t>Evidencia del kit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Evidencia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Documento canónico</w:t>
            </w:r>
          </w:p>
        </w:tc>
      </w:tr>
      <w:tr>
        <w:tc>
          <w:tcPr>
            <w:tcW w:type="dxa" w:w="4824"/>
          </w:tcPr>
          <w:p>
            <w:r/>
            <w:r>
              <w:t>Bitácora de incidentes</w:t>
            </w:r>
          </w:p>
        </w:tc>
        <w:tc>
          <w:tcPr>
            <w:tcW w:type="dxa" w:w="4824"/>
          </w:tcPr>
          <w:p>
            <w:r/>
            <w:r>
              <w:t>RS-01, DE-02</w:t>
            </w:r>
          </w:p>
        </w:tc>
      </w:tr>
      <w:tr>
        <w:tc>
          <w:tcPr>
            <w:tcW w:type="dxa" w:w="4824"/>
          </w:tcPr>
          <w:p>
            <w:r/>
            <w:r>
              <w:t>Procedimiento de respuesta inicial</w:t>
            </w:r>
          </w:p>
        </w:tc>
        <w:tc>
          <w:tcPr>
            <w:tcW w:type="dxa" w:w="4824"/>
          </w:tcPr>
          <w:p>
            <w:r/>
            <w:r>
              <w:t>PRO-04</w:t>
            </w:r>
          </w:p>
        </w:tc>
      </w:tr>
      <w:tr>
        <w:tc>
          <w:tcPr>
            <w:tcW w:type="dxa" w:w="4824"/>
          </w:tcPr>
          <w:p>
            <w:r/>
            <w:r>
              <w:t>Procedimiento de notificación</w:t>
            </w:r>
          </w:p>
        </w:tc>
        <w:tc>
          <w:tcPr>
            <w:tcW w:type="dxa" w:w="4824"/>
          </w:tcPr>
          <w:p>
            <w:r/>
            <w:r>
              <w:t>PRO-05</w:t>
            </w:r>
          </w:p>
        </w:tc>
      </w:tr>
      <w:tr>
        <w:tc>
          <w:tcPr>
            <w:tcW w:type="dxa" w:w="4824"/>
          </w:tcPr>
          <w:p>
            <w:r/>
            <w:r>
              <w:t>Plan de respuesta y comunicación</w:t>
            </w:r>
          </w:p>
        </w:tc>
        <w:tc>
          <w:tcPr>
            <w:tcW w:type="dxa" w:w="4824"/>
          </w:tcPr>
          <w:p>
            <w:r/>
            <w:r>
              <w:t>RS-01, RS-02</w:t>
            </w:r>
          </w:p>
        </w:tc>
      </w:tr>
      <w:tr>
        <w:tc>
          <w:tcPr>
            <w:tcW w:type="dxa" w:w="4824"/>
          </w:tcPr>
          <w:p>
            <w:r/>
            <w:r>
              <w:t>Lecciones aprendidas</w:t>
            </w:r>
          </w:p>
        </w:tc>
        <w:tc>
          <w:tcPr>
            <w:tcW w:type="dxa" w:w="4824"/>
          </w:tcPr>
          <w:p>
            <w:r/>
            <w:r>
              <w:t>RC-04</w:t>
            </w:r>
          </w:p>
        </w:tc>
      </w:tr>
    </w:tbl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