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POL-08 · Política de Continuidad del Negocio y Respaldos</w:t>
      </w:r>
    </w:p>
    <w:p>
      <w:pPr>
        <w:ind w:left="432"/>
      </w:pPr>
      <w:r>
        <w:rPr>
          <w:i/>
          <w:color w:val="606060"/>
        </w:rPr>
        <w:t>**Función del MCU 5.0:** Recuperar (RC.RP — planes de recuperación; RC.CO — comunicación) · Proteger (PR.DS — respaldos)</w:t>
      </w:r>
    </w:p>
    <w:p>
      <w:pPr>
        <w:ind w:left="432"/>
      </w:pPr>
      <w:r>
        <w:rPr>
          <w:i/>
          <w:color w:val="606060"/>
        </w:rPr>
        <w:t>**ISO/IEC 27001:** A.5.29-A.5.30 (continuidad y redundancia) · A.8.13 (respaldo de información) · A.8.14 (redundancia)</w:t>
      </w:r>
    </w:p>
    <w:p>
      <w:pPr>
        <w:ind w:left="432"/>
      </w:pPr>
      <w:r>
        <w:rPr>
          <w:i/>
          <w:color w:val="606060"/>
        </w:rPr>
        <w:t>**BCU:** EMG / RNRCSF — la continuidad del negocio y los respaldos son estándares mínimos de gestión</w:t>
      </w:r>
    </w:p>
    <w:p>
      <w:pPr>
        <w:ind w:left="432"/>
      </w:pPr>
      <w:r>
        <w:rPr>
          <w:i/>
          <w:color w:val="606060"/>
        </w:rPr>
        <w:t>**URCDP:** Ley 18.331 art. 10 — los respaldos protegen la disponibilidad e integridad de los datos personales</w:t>
      </w:r>
    </w:p>
    <w:p>
      <w:pPr>
        <w:ind w:left="432"/>
      </w:pPr>
      <w:r>
        <w:rPr>
          <w:i/>
          <w:color w:val="606060"/>
        </w:rPr>
        <w:t>**Nivel del curso:** 🔴 Dominar</w:t>
      </w:r>
    </w:p>
    <w:p>
      <w:pPr>
        <w:spacing w:before="120" w:after="120"/>
      </w:pPr>
    </w:p>
    <w:p>
      <w:pPr>
        <w:pStyle w:val="Heading3"/>
      </w:pPr>
      <w:r>
        <w:rPr>
          <w:color w:val="1F3B63"/>
        </w:rPr>
        <w:t>ENCABEZADO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24"/>
          </w:tcPr>
          <w:p>
            <w:r/>
            <w:r>
              <w:t>POL-08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/>
            <w:r>
              <w:t>Continuidad del Negocio y Respaldos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[Borrador / En revisión / Aprobado]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aprobación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4824"/>
          </w:tcPr>
          <w:p>
            <w:r/>
            <w:r>
              <w:t>RSI + Continuidad (BCP) + Div. TI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Revisado por</w:t>
            </w:r>
          </w:p>
        </w:tc>
        <w:tc>
          <w:tcPr>
            <w:tcW w:type="dxa" w:w="4824"/>
          </w:tcPr>
          <w:p>
            <w:r/>
            <w:r>
              <w:t>Comité de Continuidad · Producción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/>
            <w:r>
              <w:t>Dirección General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Clasificación</w:t>
            </w:r>
          </w:p>
        </w:tc>
        <w:tc>
          <w:tcPr>
            <w:tcW w:type="dxa" w:w="4824"/>
          </w:tcPr>
          <w:p>
            <w:r/>
            <w:r>
              <w:t>Confidencial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Próxima revisión</w:t>
            </w:r>
          </w:p>
        </w:tc>
        <w:tc>
          <w:tcPr>
            <w:tcW w:type="dxa" w:w="4824"/>
          </w:tcPr>
          <w:p>
            <w:r/>
            <w:r>
              <w:t>[Fecha, máx. 1 año]</w:t>
            </w:r>
          </w:p>
        </w:tc>
      </w:tr>
    </w:tbl>
    <w:p>
      <w:pPr>
        <w:pStyle w:val="Heading3"/>
      </w:pPr>
      <w:r>
        <w:rPr>
          <w:color w:val="1F3B63"/>
        </w:rPr>
        <w:t>1. Objetivo</w:t>
      </w:r>
    </w:p>
    <w:p>
      <w:r>
        <w:t xml:space="preserve">Garantizar que el Banco pueda </w:t>
      </w:r>
      <w:r>
        <w:rPr>
          <w:b/>
        </w:rPr>
        <w:t>continuar operando y recuperarse</w:t>
      </w:r>
      <w:r>
        <w:t xml:space="preserve"> ante interrupciones (ciberseguridad, desastres, fallas), y que la información crítica se </w:t>
      </w:r>
      <w:r>
        <w:rPr>
          <w:b/>
        </w:rPr>
        <w:t>respalde y se pueda restaurar</w:t>
      </w:r>
      <w:r>
        <w:t xml:space="preserve"> dentro de los plazos definidos.</w:t>
      </w:r>
    </w:p>
    <w:p>
      <w:pPr>
        <w:pStyle w:val="Heading3"/>
      </w:pPr>
      <w:r>
        <w:rPr>
          <w:color w:val="1F3B63"/>
        </w:rPr>
        <w:t>2. Alcance</w:t>
      </w:r>
    </w:p>
    <w:p>
      <w:r>
        <w:t>Aplica a procesos y servicios críticos, sistemas, datos, aplicaciones, infraestructura, sedes y personal clave del Banco, y a las pruebas periódicas del plan.</w:t>
      </w:r>
    </w:p>
    <w:p>
      <w:pPr>
        <w:pStyle w:val="Heading3"/>
      </w:pPr>
      <w:r>
        <w:rPr>
          <w:color w:val="1F3B63"/>
        </w:rPr>
        <w:t>3. Objetivos de recuperación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Sigla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Significado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Valor objetivo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RTO</w:t>
            </w:r>
          </w:p>
        </w:tc>
        <w:tc>
          <w:tcPr>
            <w:tcW w:type="dxa" w:w="3216"/>
          </w:tcPr>
          <w:p>
            <w:r/>
            <w:r>
              <w:t>Tiempo máximo para recuperar el servicio</w:t>
            </w:r>
          </w:p>
        </w:tc>
        <w:tc>
          <w:tcPr>
            <w:tcW w:type="dxa" w:w="3216"/>
          </w:tcPr>
          <w:p>
            <w:r/>
            <w:r>
              <w:t>[COMPLETAR: 24 h]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RPO</w:t>
            </w:r>
          </w:p>
        </w:tc>
        <w:tc>
          <w:tcPr>
            <w:tcW w:type="dxa" w:w="3216"/>
          </w:tcPr>
          <w:p>
            <w:r/>
            <w:r>
              <w:t>Pérdida máxima de datos aceptable</w:t>
            </w:r>
          </w:p>
        </w:tc>
        <w:tc>
          <w:tcPr>
            <w:tcW w:type="dxa" w:w="3216"/>
          </w:tcPr>
          <w:p>
            <w:r/>
            <w:r>
              <w:t>[COMPLETAR: 24 h]</w:t>
            </w:r>
          </w:p>
        </w:tc>
      </w:tr>
    </w:tbl>
    <w:p>
      <w:pPr>
        <w:pStyle w:val="Heading3"/>
      </w:pPr>
      <w:r>
        <w:rPr>
          <w:color w:val="1F3B63"/>
        </w:rPr>
        <w:t>4. Respaldos</w:t>
      </w:r>
    </w:p>
    <w:p>
      <w:pPr>
        <w:pStyle w:val="ListBullet"/>
      </w:pPr>
      <w:r>
        <w:t>Todo dato crítico se respalda según frecuencia [COMPLETAR: diaria incremental + semanal completa].</w:t>
      </w:r>
    </w:p>
    <w:p>
      <w:pPr>
        <w:pStyle w:val="ListBullet"/>
      </w:pPr>
      <w:r>
        <w:t xml:space="preserve">Los respaldos se </w:t>
      </w:r>
      <w:r>
        <w:rPr>
          <w:b/>
        </w:rPr>
        <w:t>cifran</w:t>
      </w:r>
      <w:r>
        <w:t xml:space="preserve"> (POL-14) y se almacenan </w:t>
      </w:r>
      <w:r>
        <w:rPr>
          <w:b/>
        </w:rPr>
        <w:t>fuera del sitio</w:t>
      </w:r>
      <w:r>
        <w:t xml:space="preserve"> (sede secundaria o nube contratada).</w:t>
      </w:r>
    </w:p>
    <w:p>
      <w:pPr>
        <w:pStyle w:val="ListBullet"/>
      </w:pPr>
      <w:r>
        <w:t xml:space="preserve">Se conservan copias </w:t>
      </w:r>
      <w:r>
        <w:rPr>
          <w:b/>
        </w:rPr>
        <w:t>históricas</w:t>
      </w:r>
      <w:r>
        <w:t xml:space="preserve"> para recuperar ante corrupción de datos o ransomware.</w:t>
      </w:r>
    </w:p>
    <w:p>
      <w:pPr>
        <w:pStyle w:val="ListBullet"/>
      </w:pPr>
      <w:r>
        <w:t xml:space="preserve">Las </w:t>
      </w:r>
      <w:r>
        <w:rPr>
          <w:b/>
        </w:rPr>
        <w:t>pruebas de restauración</w:t>
      </w:r>
      <w:r>
        <w:t xml:space="preserve"> se realizan al menos [COMPLETAR: mensual] y se documentan (PRO-06).</w:t>
      </w:r>
    </w:p>
    <w:p>
      <w:pPr>
        <w:pStyle w:val="ListBullet"/>
      </w:pPr>
      <w:r>
        <w:t>El acceso a los respaldos se controla (POL-04) y su ejecución se registra (POL-13).</w:t>
      </w:r>
    </w:p>
    <w:p>
      <w:pPr>
        <w:pStyle w:val="Heading3"/>
      </w:pPr>
      <w:r>
        <w:rPr>
          <w:color w:val="1F3B63"/>
        </w:rPr>
        <w:t>5. Plan de continuidad</w:t>
      </w:r>
    </w:p>
    <w:p>
      <w:pPr>
        <w:pStyle w:val="ListBullet"/>
      </w:pPr>
      <w:r>
        <w:t xml:space="preserve">Se identifican </w:t>
      </w:r>
      <w:r>
        <w:rPr>
          <w:b/>
        </w:rPr>
        <w:t>procesos críticos</w:t>
      </w:r>
      <w:r>
        <w:t xml:space="preserve"> y su prioridad de recuperación (BIA).</w:t>
      </w:r>
    </w:p>
    <w:p>
      <w:pPr>
        <w:pStyle w:val="ListBullet"/>
      </w:pPr>
      <w:r>
        <w:t xml:space="preserve">El </w:t>
      </w:r>
      <w:r>
        <w:rPr>
          <w:b/>
        </w:rPr>
        <w:t>BCP/DRP</w:t>
      </w:r>
      <w:r>
        <w:t xml:space="preserve"> define estrategias, responsables, sedes alternativas y comunicación de crisis (RC-01…RC-03).</w:t>
      </w:r>
    </w:p>
    <w:p>
      <w:pPr>
        <w:pStyle w:val="ListBullet"/>
      </w:pPr>
      <w:r>
        <w:t xml:space="preserve">El plan se </w:t>
      </w:r>
      <w:r>
        <w:rPr>
          <w:b/>
        </w:rPr>
        <w:t>prueba</w:t>
      </w:r>
      <w:r>
        <w:t xml:space="preserve"> al menos [COMPLETAR: anualmente] con simulacros y se actualiza.</w:t>
      </w:r>
    </w:p>
    <w:p>
      <w:pPr>
        <w:pStyle w:val="ListBullet"/>
      </w:pPr>
      <w:r>
        <w:t xml:space="preserve">Se definen </w:t>
      </w:r>
      <w:r>
        <w:rPr>
          <w:b/>
        </w:rPr>
        <w:t>canales de comunicación de emergencia</w:t>
      </w:r>
      <w:r>
        <w:t xml:space="preserve"> y roles de decisión.</w:t>
      </w:r>
    </w:p>
    <w:p>
      <w:pPr>
        <w:pStyle w:val="Heading3"/>
      </w:pPr>
      <w:r>
        <w:rPr>
          <w:color w:val="1F3B63"/>
        </w:rPr>
        <w:t>6. Reglas obligatorias</w:t>
      </w:r>
    </w:p>
    <w:p>
      <w:pPr>
        <w:pStyle w:val="ListBullet"/>
      </w:pPr>
      <w:r>
        <w:t>Los respaldos no se almacenan en el mismo sitio que los datos originales.</w:t>
      </w:r>
    </w:p>
    <w:p>
      <w:pPr>
        <w:pStyle w:val="ListBullet"/>
      </w:pPr>
      <w:r>
        <w:t xml:space="preserve">Un respaldo que </w:t>
      </w:r>
      <w:r>
        <w:rPr>
          <w:b/>
        </w:rPr>
        <w:t>no se probó</w:t>
      </w:r>
      <w:r>
        <w:t xml:space="preserve"> no cuenta como respaldo.</w:t>
      </w:r>
    </w:p>
    <w:p>
      <w:pPr>
        <w:pStyle w:val="ListBullet"/>
      </w:pPr>
      <w:r>
        <w:t>Ante un incidente (POL-07), la recuperación se coordina con el CSIRT para no restaurar máquinas infectadas.</w:t>
      </w:r>
    </w:p>
    <w:p>
      <w:pPr>
        <w:pStyle w:val="ListBullet"/>
      </w:pPr>
      <w:r>
        <w:t>Las excepciones de cobertura de continuidad se aprueban por el Comité de Continuidad.</w:t>
      </w:r>
    </w:p>
    <w:p>
      <w:pPr>
        <w:pStyle w:val="Heading3"/>
      </w:pPr>
      <w:r>
        <w:rPr>
          <w:color w:val="1F3B63"/>
        </w:rPr>
        <w:t>7. Cumplimiento y revisión</w:t>
      </w:r>
    </w:p>
    <w:p>
      <w:r>
        <w:t>El incumplimiento de los plazos de respaldo o prueba se reporta al Comité. Revisión anual de la política; pruebas periódicas del plan y de restauración.</w:t>
      </w:r>
    </w:p>
    <w:p>
      <w:pPr>
        <w:pStyle w:val="Heading3"/>
      </w:pPr>
      <w:r>
        <w:rPr>
          <w:color w:val="1F3B63"/>
        </w:rPr>
        <w:t>Evidencia del kit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Evidencia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Documento canónico</w:t>
            </w:r>
          </w:p>
        </w:tc>
      </w:tr>
      <w:tr>
        <w:tc>
          <w:tcPr>
            <w:tcW w:type="dxa" w:w="4824"/>
          </w:tcPr>
          <w:p>
            <w:r/>
            <w:r>
              <w:t>Plan de continuidad</w:t>
            </w:r>
          </w:p>
        </w:tc>
        <w:tc>
          <w:tcPr>
            <w:tcW w:type="dxa" w:w="4824"/>
          </w:tcPr>
          <w:p>
            <w:r/>
            <w:r>
              <w:t>RC-01, RC-02, RC-03</w:t>
            </w:r>
          </w:p>
        </w:tc>
      </w:tr>
      <w:tr>
        <w:tc>
          <w:tcPr>
            <w:tcW w:type="dxa" w:w="4824"/>
          </w:tcPr>
          <w:p>
            <w:r/>
            <w:r>
              <w:t>Registro de respaldos</w:t>
            </w:r>
          </w:p>
        </w:tc>
        <w:tc>
          <w:tcPr>
            <w:tcW w:type="dxa" w:w="4824"/>
          </w:tcPr>
          <w:p>
            <w:r/>
            <w:r>
              <w:t>PR-05</w:t>
            </w:r>
          </w:p>
        </w:tc>
      </w:tr>
      <w:tr>
        <w:tc>
          <w:tcPr>
            <w:tcW w:type="dxa" w:w="4824"/>
          </w:tcPr>
          <w:p>
            <w:r/>
            <w:r>
              <w:t>Pruebas de restauración</w:t>
            </w:r>
          </w:p>
        </w:tc>
        <w:tc>
          <w:tcPr>
            <w:tcW w:type="dxa" w:w="4824"/>
          </w:tcPr>
          <w:p>
            <w:r/>
            <w:r>
              <w:t>PRO-06, RC-02</w:t>
            </w:r>
          </w:p>
        </w:tc>
      </w:tr>
      <w:tr>
        <w:tc>
          <w:tcPr>
            <w:tcW w:type="dxa" w:w="4824"/>
          </w:tcPr>
          <w:p>
            <w:r/>
            <w:r>
              <w:t>Análisis de impacto (BIA)</w:t>
            </w:r>
          </w:p>
        </w:tc>
        <w:tc>
          <w:tcPr>
            <w:tcW w:type="dxa" w:w="4824"/>
          </w:tcPr>
          <w:p>
            <w:r/>
            <w:r>
              <w:t>ID-02, BCU-02</w:t>
            </w:r>
          </w:p>
        </w:tc>
      </w:tr>
      <w:tr>
        <w:tc>
          <w:tcPr>
            <w:tcW w:type="dxa" w:w="4824"/>
          </w:tcPr>
          <w:p>
            <w:r/>
            <w:r>
              <w:t>Simulacros realizados</w:t>
            </w:r>
          </w:p>
        </w:tc>
        <w:tc>
          <w:tcPr>
            <w:tcW w:type="dxa" w:w="4824"/>
          </w:tcPr>
          <w:p>
            <w:r/>
            <w:r>
              <w:t>RC-04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