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POL-10 · Política de Seguridad del Personal y Concienciación</w:t>
      </w:r>
    </w:p>
    <w:p>
      <w:pPr>
        <w:ind w:left="432"/>
      </w:pPr>
      <w:r>
        <w:rPr>
          <w:i/>
          <w:color w:val="606060"/>
        </w:rPr>
        <w:t>**Función del MCU 5.0:** Proteger (PR.AT — concienciación y entrenamiento)</w:t>
      </w:r>
    </w:p>
    <w:p>
      <w:pPr>
        <w:ind w:left="432"/>
      </w:pPr>
      <w:r>
        <w:rPr>
          <w:i/>
          <w:color w:val="606060"/>
        </w:rPr>
        <w:t>**ISO/IEC 27001:** A.6.1 (selección de personal) · A.6.3 (concienciación) · A.6.4 (proceso disciplinario) · A.7.2-A.7.3 (contratos y baja)</w:t>
      </w:r>
    </w:p>
    <w:p>
      <w:pPr>
        <w:ind w:left="432"/>
      </w:pPr>
      <w:r>
        <w:rPr>
          <w:i/>
          <w:color w:val="606060"/>
        </w:rPr>
        <w:t>**BCU:** EMG — cultura de seguridad y capital humano</w:t>
      </w:r>
    </w:p>
    <w:p>
      <w:pPr>
        <w:ind w:left="432"/>
      </w:pPr>
      <w:r>
        <w:rPr>
          <w:i/>
          <w:color w:val="606060"/>
        </w:rPr>
        <w:t>**URCDP:** Ley 18.331 art. 13 — deber de confidencialidad del personal que trata datos personales</w:t>
      </w:r>
    </w:p>
    <w:p>
      <w:pPr>
        <w:ind w:left="432"/>
      </w:pPr>
      <w:r>
        <w:rPr>
          <w:i/>
          <w:color w:val="606060"/>
        </w:rPr>
        <w:t>**Nivel del curso:** 🟢 Descubrir → 🟡 Practicar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Seguridad del Personal y Concienciación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RRHH + 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DPD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Dirección General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Garantizar que el </w:t>
      </w:r>
      <w:r>
        <w:rPr>
          <w:b/>
        </w:rPr>
        <w:t>personal</w:t>
      </w:r>
      <w:r>
        <w:t xml:space="preserve"> (y los terceros que actúan como personal) conozca, acepte y cumpla las políticas de seguridad, y que el Banco forme una </w:t>
      </w:r>
      <w:r>
        <w:rPr>
          <w:b/>
        </w:rPr>
        <w:t>cultura de seguridad</w:t>
      </w:r>
      <w:r>
        <w:t xml:space="preserve"> continua.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todo el personal del Banco, contratistas y proveedores con acceso a información o sistemas, desde la selección hasta la baja.</w:t>
      </w:r>
    </w:p>
    <w:p>
      <w:pPr>
        <w:pStyle w:val="Heading3"/>
      </w:pPr>
      <w:r>
        <w:rPr>
          <w:color w:val="1F3B63"/>
        </w:rPr>
        <w:t>3. Reglas obligatorias</w:t>
      </w:r>
    </w:p>
    <w:p>
      <w:pPr>
        <w:pStyle w:val="ListBullet"/>
      </w:pPr>
      <w:r>
        <w:rPr>
          <w:b/>
        </w:rPr>
        <w:t>Antes del ingreso</w:t>
      </w:r>
      <w:r>
        <w:t>: verificación de antecedentes según lo permitido por ley, firma de contrato con cláusulas de confidencialidad (PRO-08) y aceptación de las políticas.</w:t>
      </w:r>
    </w:p>
    <w:p>
      <w:pPr>
        <w:pStyle w:val="ListBullet"/>
      </w:pPr>
      <w:r>
        <w:rPr>
          <w:b/>
        </w:rPr>
        <w:t>Al ingreso</w:t>
      </w:r>
      <w:r>
        <w:t>: capacitación inicial de seguridad y protección de datos (PRO-12); sin ella no se otorgan accesos.</w:t>
      </w:r>
    </w:p>
    <w:p>
      <w:pPr>
        <w:pStyle w:val="ListBullet"/>
      </w:pPr>
      <w:r>
        <w:rPr>
          <w:b/>
        </w:rPr>
        <w:t>Periódicamente</w:t>
      </w:r>
      <w:r>
        <w:t>: capacitación anual obligatoria + campañas de phishing simulado y píldoras de concienciación (PRO-12).</w:t>
      </w:r>
    </w:p>
    <w:p>
      <w:pPr>
        <w:pStyle w:val="ListBullet"/>
      </w:pPr>
      <w:r>
        <w:rPr>
          <w:b/>
        </w:rPr>
        <w:t>Roles con responsabilidad</w:t>
      </w:r>
      <w:r>
        <w:t>: los cargos de confianza (RSI, DPD, administradores, gestión de pagos) reciben formación específica.</w:t>
      </w:r>
    </w:p>
    <w:p>
      <w:pPr>
        <w:pStyle w:val="ListBullet"/>
      </w:pPr>
      <w:r>
        <w:rPr>
          <w:b/>
        </w:rPr>
        <w:t>Al egreso</w:t>
      </w:r>
      <w:r>
        <w:t>: baja inmediata de accesos (PRO-08), devolución de equipos y credenciales, y recordatorio de obligaciones vigentes.</w:t>
      </w:r>
    </w:p>
    <w:p>
      <w:pPr>
        <w:pStyle w:val="ListBullet"/>
      </w:pPr>
      <w:r>
        <w:rPr>
          <w:b/>
        </w:rPr>
        <w:t>Incumplimiento</w:t>
      </w:r>
      <w:r>
        <w:t>: se aplica el proceso disciplinario según la gravedad; se documenta y se usa como aprendizaje.</w:t>
      </w:r>
    </w:p>
    <w:p>
      <w:pPr>
        <w:pStyle w:val="Heading3"/>
      </w:pPr>
      <w:r>
        <w:rPr>
          <w:color w:val="1F3B63"/>
        </w:rPr>
        <w:t>4. Programa de concienciación</w:t>
      </w:r>
    </w:p>
    <w:p>
      <w:pPr>
        <w:pStyle w:val="ListBullet"/>
      </w:pPr>
      <w:r>
        <w:t>Temas mínimos: phishing, contraseñas/MFA, datos personales, uso aceptable, trabajo remoto, respuesta a incidentes, IA segura (AISEC).</w:t>
      </w:r>
    </w:p>
    <w:p>
      <w:pPr>
        <w:pStyle w:val="ListBullet"/>
      </w:pPr>
      <w:r>
        <w:t>Métricas: % de personal capacitado, tasa de clics en simulacros, % de reporte de phishing.</w:t>
      </w:r>
    </w:p>
    <w:p>
      <w:pPr>
        <w:pStyle w:val="Heading3"/>
      </w:pPr>
      <w:r>
        <w:rPr>
          <w:color w:val="1F3B63"/>
        </w:rPr>
        <w:t>5. Responsabilidades</w:t>
      </w:r>
    </w:p>
    <w:p>
      <w:pPr>
        <w:pStyle w:val="ListBullet"/>
      </w:pPr>
      <w:r>
        <w:rPr>
          <w:b/>
        </w:rPr>
        <w:t>RRHH</w:t>
      </w:r>
      <w:r>
        <w:t>: gestión del ciclo de vida del personal y registro de capacitación.</w:t>
      </w:r>
    </w:p>
    <w:p>
      <w:pPr>
        <w:pStyle w:val="ListBullet"/>
      </w:pPr>
      <w:r>
        <w:rPr>
          <w:b/>
        </w:rPr>
        <w:t>RSI</w:t>
      </w:r>
      <w:r>
        <w:t>: diseño y ejecución del programa de concienciación.</w:t>
      </w:r>
    </w:p>
    <w:p>
      <w:pPr>
        <w:pStyle w:val="ListBullet"/>
      </w:pPr>
      <w:r>
        <w:rPr>
          <w:b/>
        </w:rPr>
        <w:t>DPD</w:t>
      </w:r>
      <w:r>
        <w:t>: contenidos de protección de datos.</w:t>
      </w:r>
    </w:p>
    <w:p>
      <w:pPr>
        <w:pStyle w:val="ListBullet"/>
      </w:pPr>
      <w:r>
        <w:rPr>
          <w:b/>
        </w:rPr>
        <w:t>Jefes de área</w:t>
      </w:r>
      <w:r>
        <w:t>: velan por el cumplimiento en su equipo.</w:t>
      </w:r>
    </w:p>
    <w:p>
      <w:pPr>
        <w:pStyle w:val="Heading3"/>
      </w:pPr>
      <w:r>
        <w:rPr>
          <w:color w:val="1F3B63"/>
        </w:rPr>
        <w:t>6. Cumplimiento y revisión</w:t>
      </w:r>
    </w:p>
    <w:p>
      <w:r>
        <w:t>La negativa a capacitación o el incumplimiento reiterado se gestionan por RRHH. Revisión anual de la política y del programa (PRO-12).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Contratos con cláusulas de confidencialidad</w:t>
            </w:r>
          </w:p>
        </w:tc>
        <w:tc>
          <w:tcPr>
            <w:tcW w:type="dxa" w:w="4824"/>
          </w:tcPr>
          <w:p>
            <w:r/>
            <w:r>
              <w:t>PR-08</w:t>
            </w:r>
          </w:p>
        </w:tc>
      </w:tr>
      <w:tr>
        <w:tc>
          <w:tcPr>
            <w:tcW w:type="dxa" w:w="4824"/>
          </w:tcPr>
          <w:p>
            <w:r/>
            <w:r>
              <w:t>Registro de capacitación</w:t>
            </w:r>
          </w:p>
        </w:tc>
        <w:tc>
          <w:tcPr>
            <w:tcW w:type="dxa" w:w="4824"/>
          </w:tcPr>
          <w:p>
            <w:r/>
            <w:r>
              <w:t>PRO-12, PR-02</w:t>
            </w:r>
          </w:p>
        </w:tc>
      </w:tr>
      <w:tr>
        <w:tc>
          <w:tcPr>
            <w:tcW w:type="dxa" w:w="4824"/>
          </w:tcPr>
          <w:p>
            <w:r/>
            <w:r>
              <w:t>Resultados de simulacros de phishing</w:t>
            </w:r>
          </w:p>
        </w:tc>
        <w:tc>
          <w:tcPr>
            <w:tcW w:type="dxa" w:w="4824"/>
          </w:tcPr>
          <w:p>
            <w:r/>
            <w:r>
              <w:t>PR-02, DE-02</w:t>
            </w:r>
          </w:p>
        </w:tc>
      </w:tr>
      <w:tr>
        <w:tc>
          <w:tcPr>
            <w:tcW w:type="dxa" w:w="4824"/>
          </w:tcPr>
          <w:p>
            <w:r/>
            <w:r>
              <w:t>Proceso disciplinario</w:t>
            </w:r>
          </w:p>
        </w:tc>
        <w:tc>
          <w:tcPr>
            <w:tcW w:type="dxa" w:w="4824"/>
          </w:tcPr>
          <w:p>
            <w:r/>
            <w:r>
              <w:t>PR-08</w:t>
            </w:r>
          </w:p>
        </w:tc>
      </w:tr>
      <w:tr>
        <w:tc>
          <w:tcPr>
            <w:tcW w:type="dxa" w:w="4824"/>
          </w:tcPr>
          <w:p>
            <w:r/>
            <w:r>
              <w:t>Onboarding/offboarding</w:t>
            </w:r>
          </w:p>
        </w:tc>
        <w:tc>
          <w:tcPr>
            <w:tcW w:type="dxa" w:w="4824"/>
          </w:tcPr>
          <w:p>
            <w:r/>
            <w:r>
              <w:t>PRO-08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