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POL-11 · Política de Gestión de Terceros y Proveedores</w:t>
      </w:r>
    </w:p>
    <w:p>
      <w:pPr>
        <w:ind w:left="432"/>
      </w:pPr>
      <w:r>
        <w:rPr>
          <w:i/>
          <w:color w:val="606060"/>
        </w:rPr>
        <w:t>**Función del MCU 5.0:** Gobernar (GV.SC — cadena de suministro y terceros)</w:t>
      </w:r>
    </w:p>
    <w:p>
      <w:pPr>
        <w:ind w:left="432"/>
      </w:pPr>
      <w:r>
        <w:rPr>
          <w:i/>
          <w:color w:val="606060"/>
        </w:rPr>
        <w:t>**ISO/IEC 27001:** A.5.19-A.5.22 (seguridad de proveedores, TIC y gestión del ciclo de vida) · A.5.36 (cumplimiento con políticas)</w:t>
      </w:r>
    </w:p>
    <w:p>
      <w:pPr>
        <w:ind w:left="432"/>
      </w:pPr>
      <w:r>
        <w:rPr>
          <w:i/>
          <w:color w:val="606060"/>
        </w:rPr>
        <w:t>**BCU:** EMG / RNRCSF — la externalización no exime de responsabilidad; el banco debe controlar a sus proveedores</w:t>
      </w:r>
    </w:p>
    <w:p>
      <w:pPr>
        <w:ind w:left="432"/>
      </w:pPr>
      <w:r>
        <w:rPr>
          <w:i/>
          <w:color w:val="606060"/>
        </w:rPr>
        <w:t>**URCDP:** Ley 18.331 art. 18 (encargado de tratamiento) · Decreto 64/020 — los terceros deben cumplir las mismas garantías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POL-11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Gestión de Terceros y Proveedores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Compras + RSI + DPD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Legales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Dirección General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Gestionar los </w:t>
      </w:r>
      <w:r>
        <w:rPr>
          <w:b/>
        </w:rPr>
        <w:t>riesgos de seguridad y datos</w:t>
      </w:r>
      <w:r>
        <w:t xml:space="preserve"> que introducen los terceros (proveedores, procesadoras, nube, soporte, call centers, custodias), garantizando que cumplan las políticas del Banco y la normativa.</w:t>
      </w:r>
    </w:p>
    <w:p>
      <w:pPr>
        <w:pStyle w:val="Heading3"/>
      </w:pPr>
      <w:r>
        <w:rPr>
          <w:color w:val="1F3B63"/>
        </w:rPr>
        <w:t>2. Alcance</w:t>
      </w:r>
    </w:p>
    <w:p>
      <w:r>
        <w:t>Aplica a todo proveedor o tercero con acceso a sistemas, datos, instalaciones o que preste servicios que afecten la seguridad del Banco.</w:t>
      </w:r>
    </w:p>
    <w:p>
      <w:pPr>
        <w:pStyle w:val="Heading3"/>
      </w:pPr>
      <w:r>
        <w:rPr>
          <w:color w:val="1F3B63"/>
        </w:rPr>
        <w:t>3. Reglas obligatorias</w:t>
      </w:r>
    </w:p>
    <w:p>
      <w:pPr>
        <w:pStyle w:val="ListBullet"/>
      </w:pPr>
      <w:r>
        <w:rPr>
          <w:b/>
        </w:rPr>
        <w:t>Evaluación previa</w:t>
      </w:r>
      <w:r>
        <w:t xml:space="preserve"> de seguridad y datos antes de contratar (PRO-13): cuestionario, evidencia de cumplimiento, referencias.</w:t>
      </w:r>
    </w:p>
    <w:p>
      <w:pPr>
        <w:pStyle w:val="ListBullet"/>
      </w:pPr>
      <w:r>
        <w:rPr>
          <w:b/>
        </w:rPr>
        <w:t>Contratos</w:t>
      </w:r>
      <w:r>
        <w:t xml:space="preserve"> con cláusulas mínimas: confidencialidad, seguridad, tratamiento de datos personales (encargado de tratamiento), notificación de incidentes, auditoría, subcontratación y fin de relación.</w:t>
      </w:r>
    </w:p>
    <w:p>
      <w:pPr>
        <w:pStyle w:val="ListBullet"/>
      </w:pPr>
      <w:r>
        <w:rPr>
          <w:b/>
        </w:rPr>
        <w:t>Proveedores con datos personales</w:t>
      </w:r>
      <w:r>
        <w:t>: firma de acuerdo de encargado de tratamiento conforme a la Ley 18.331 y registro en el inventario del DPD (POL-20).</w:t>
      </w:r>
    </w:p>
    <w:p>
      <w:pPr>
        <w:pStyle w:val="ListBullet"/>
      </w:pPr>
      <w:r>
        <w:rPr>
          <w:b/>
        </w:rPr>
        <w:t>Acceso de terceros</w:t>
      </w:r>
      <w:r>
        <w:t>: mínimo necesario (POL-04), con cuentas nominadas o acceso supervisado y plazo de vigencia.</w:t>
      </w:r>
    </w:p>
    <w:p>
      <w:pPr>
        <w:pStyle w:val="ListBullet"/>
      </w:pPr>
      <w:r>
        <w:rPr>
          <w:b/>
        </w:rPr>
        <w:t>Seguimiento continuo</w:t>
      </w:r>
      <w:r>
        <w:t>: revisión periódica de los controles del proveedor, incidentes reportados y cambios de servicio (PCS-07).</w:t>
      </w:r>
    </w:p>
    <w:p>
      <w:pPr>
        <w:pStyle w:val="ListBullet"/>
      </w:pPr>
      <w:r>
        <w:rPr>
          <w:b/>
        </w:rPr>
        <w:t>Salida del proveedor</w:t>
      </w:r>
      <w:r>
        <w:t>: plan de migración/retiro con entrega y destrucción de datos según contrato.</w:t>
      </w:r>
    </w:p>
    <w:p>
      <w:pPr>
        <w:pStyle w:val="ListBullet"/>
      </w:pPr>
      <w:r>
        <w:t xml:space="preserve">Los </w:t>
      </w:r>
      <w:r>
        <w:rPr>
          <w:b/>
        </w:rPr>
        <w:t>riesgos de la cadena de suministro</w:t>
      </w:r>
      <w:r>
        <w:t xml:space="preserve"> ingresan a la matriz de riesgos (PCS-01).</w:t>
      </w:r>
    </w:p>
    <w:p>
      <w:pPr>
        <w:pStyle w:val="Heading3"/>
      </w:pPr>
      <w:r>
        <w:rPr>
          <w:color w:val="1F3B63"/>
        </w:rPr>
        <w:t>4. Responsabilidades</w:t>
      </w:r>
    </w:p>
    <w:p>
      <w:pPr>
        <w:pStyle w:val="ListBullet"/>
      </w:pPr>
      <w:r>
        <w:rPr>
          <w:b/>
        </w:rPr>
        <w:t>Compras</w:t>
      </w:r>
      <w:r>
        <w:t>: proceso contractual.</w:t>
      </w:r>
    </w:p>
    <w:p>
      <w:pPr>
        <w:pStyle w:val="ListBullet"/>
      </w:pPr>
      <w:r>
        <w:rPr>
          <w:b/>
        </w:rPr>
        <w:t>RSI</w:t>
      </w:r>
      <w:r>
        <w:t>: evaluación y seguimiento de seguridad.</w:t>
      </w:r>
    </w:p>
    <w:p>
      <w:pPr>
        <w:pStyle w:val="ListBullet"/>
      </w:pPr>
      <w:r>
        <w:rPr>
          <w:b/>
        </w:rPr>
        <w:t>DPD</w:t>
      </w:r>
      <w:r>
        <w:t>: evaluaciones de protección de datos y EIPD.</w:t>
      </w:r>
    </w:p>
    <w:p>
      <w:pPr>
        <w:pStyle w:val="ListBullet"/>
      </w:pPr>
      <w:r>
        <w:rPr>
          <w:b/>
        </w:rPr>
        <w:t>Dueño del servicio</w:t>
      </w:r>
      <w:r>
        <w:t>: gestión operativa del proveedor.</w:t>
      </w:r>
    </w:p>
    <w:p>
      <w:pPr>
        <w:pStyle w:val="Heading3"/>
      </w:pPr>
      <w:r>
        <w:rPr>
          <w:color w:val="1F3B63"/>
        </w:rPr>
        <w:t>5. Cumplimiento y revisión</w:t>
      </w:r>
    </w:p>
    <w:p>
      <w:r>
        <w:t>Un proveedor que incumpla las cláusulas de seguridad se gestiona según contrato (plan de acción, penalización, cese). Revisión anual de la política y del listado de proveedores críticos.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Cuestionario de evaluación</w:t>
            </w:r>
          </w:p>
        </w:tc>
        <w:tc>
          <w:tcPr>
            <w:tcW w:type="dxa" w:w="4824"/>
          </w:tcPr>
          <w:p>
            <w:r/>
            <w:r>
              <w:t>PRO-13, GV-05</w:t>
            </w:r>
          </w:p>
        </w:tc>
      </w:tr>
      <w:tr>
        <w:tc>
          <w:tcPr>
            <w:tcW w:type="dxa" w:w="4824"/>
          </w:tcPr>
          <w:p>
            <w:r/>
            <w:r>
              <w:t>Contratos y anexos de seguridad</w:t>
            </w:r>
          </w:p>
        </w:tc>
        <w:tc>
          <w:tcPr>
            <w:tcW w:type="dxa" w:w="4824"/>
          </w:tcPr>
          <w:p>
            <w:r/>
            <w:r>
              <w:t>GV-05, PR-08</w:t>
            </w:r>
          </w:p>
        </w:tc>
      </w:tr>
      <w:tr>
        <w:tc>
          <w:tcPr>
            <w:tcW w:type="dxa" w:w="4824"/>
          </w:tcPr>
          <w:p>
            <w:r/>
            <w:r>
              <w:t>Registro de encargados de tratamiento</w:t>
            </w:r>
          </w:p>
        </w:tc>
        <w:tc>
          <w:tcPr>
            <w:tcW w:type="dxa" w:w="4824"/>
          </w:tcPr>
          <w:p>
            <w:r/>
            <w:r>
              <w:t>POL-20, URCDP</w:t>
            </w:r>
          </w:p>
        </w:tc>
      </w:tr>
      <w:tr>
        <w:tc>
          <w:tcPr>
            <w:tcW w:type="dxa" w:w="4824"/>
          </w:tcPr>
          <w:p>
            <w:r/>
            <w:r>
              <w:t>Matriz de riesgos de proveedores</w:t>
            </w:r>
          </w:p>
        </w:tc>
        <w:tc>
          <w:tcPr>
            <w:tcW w:type="dxa" w:w="4824"/>
          </w:tcPr>
          <w:p>
            <w:r/>
            <w:r>
              <w:t>ID-02, GV-03</w:t>
            </w:r>
          </w:p>
        </w:tc>
      </w:tr>
      <w:tr>
        <w:tc>
          <w:tcPr>
            <w:tcW w:type="dxa" w:w="4824"/>
          </w:tcPr>
          <w:p>
            <w:r/>
            <w:r>
              <w:t>Plan de salida de proveedores</w:t>
            </w:r>
          </w:p>
        </w:tc>
        <w:tc>
          <w:tcPr>
            <w:tcW w:type="dxa" w:w="4824"/>
          </w:tcPr>
          <w:p>
            <w:r/>
            <w:r>
              <w:t>GV-05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