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POL-12 · Política de Seguridad de Redes y Comunicaciones</w:t>
      </w:r>
    </w:p>
    <w:p>
      <w:pPr>
        <w:ind w:left="432"/>
      </w:pPr>
      <w:r>
        <w:rPr>
          <w:i/>
          <w:color w:val="606060"/>
        </w:rPr>
        <w:t>**Función del MCU 5.0:** Proteger (PR.AC — control de acceso de red; PR.PT — tecnologías de protección) · Detectar (DE.CM)</w:t>
      </w:r>
    </w:p>
    <w:p>
      <w:pPr>
        <w:ind w:left="432"/>
      </w:pPr>
      <w:r>
        <w:rPr>
          <w:i/>
          <w:color w:val="606060"/>
        </w:rPr>
        <w:t>**ISO/IEC 27001:** A.8.20-A.8.21 (seguridad de redes y separación) · A.8.22-A.8.23 (transferencia de información) · A.8.28-A.8.29 (canales de comunicación)</w:t>
      </w:r>
    </w:p>
    <w:p>
      <w:pPr>
        <w:ind w:left="432"/>
      </w:pPr>
      <w:r>
        <w:rPr>
          <w:i/>
          <w:color w:val="606060"/>
        </w:rPr>
        <w:t>**BCU:** EMG / RNRCSF — protección de la red del sistema de pagos y de los canales de comunicación</w:t>
      </w:r>
    </w:p>
    <w:p>
      <w:pPr>
        <w:ind w:left="432"/>
      </w:pPr>
      <w:r>
        <w:rPr>
          <w:i/>
          <w:color w:val="606060"/>
        </w:rPr>
        <w:t>**URCDP:** Ley 18.331 art. 10 — las comunicaciones que transportan datos personales deben estar protegidas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Seguridad de Redes y Comunicaciones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Producción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Proteger la </w:t>
      </w:r>
      <w:r>
        <w:rPr>
          <w:b/>
        </w:rPr>
        <w:t>infraestructura de red y las comunicaciones</w:t>
      </w:r>
      <w:r>
        <w:t xml:space="preserve"> del Banco mediante segmentación, filtrado, cifrado y monitoreo, garantizando que la información circule solo por los canales autorizados.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redes LAN/WLAN/WAN, VPN, firewalls, WAF, DMZ, segmentos de sistemas de pago, DNS, correo, telefonía IP, nube y canales con terceros.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Segmentación</w:t>
      </w:r>
      <w:r>
        <w:t>: la red se segmenta por zonas de seguridad (usuario, servidores, pagos, DMZ, gestión) y las comunicaciones entre zonas se controlan por reglas (POL-12/PR-06).</w:t>
      </w:r>
    </w:p>
    <w:p>
      <w:pPr>
        <w:pStyle w:val="ListBullet"/>
      </w:pPr>
      <w:r>
        <w:rPr>
          <w:b/>
        </w:rPr>
        <w:t>Firewall perimetral y DMZ</w:t>
      </w:r>
      <w:r>
        <w:t>: todo tráfico entrante pasa por el firewall; los servicios públicos viven en la DMZ.</w:t>
      </w:r>
    </w:p>
    <w:p>
      <w:pPr>
        <w:pStyle w:val="ListBullet"/>
      </w:pPr>
      <w:r>
        <w:rPr>
          <w:b/>
        </w:rPr>
        <w:t>WAF</w:t>
      </w:r>
      <w:r>
        <w:t>: las aplicaciones web públicas y Banco En Línea se protegen con WAF (modo bloqueo).</w:t>
      </w:r>
    </w:p>
    <w:p>
      <w:pPr>
        <w:pStyle w:val="ListBullet"/>
      </w:pPr>
      <w:r>
        <w:rPr>
          <w:b/>
        </w:rPr>
        <w:t>Wi-Fi</w:t>
      </w:r>
      <w:r>
        <w:t>: redes corporativas con WPA2/WPA3, redes de invitados aisladas y prohibido conectar equipos no autorizados.</w:t>
      </w:r>
    </w:p>
    <w:p>
      <w:pPr>
        <w:pStyle w:val="ListBullet"/>
      </w:pPr>
      <w:r>
        <w:rPr>
          <w:b/>
        </w:rPr>
        <w:t>VPN</w:t>
      </w:r>
      <w:r>
        <w:t>: el acceso remoto y la interconexión de sedes usan VPN cifrada y autenticación fuerte (MFA).</w:t>
      </w:r>
    </w:p>
    <w:p>
      <w:pPr>
        <w:pStyle w:val="ListBullet"/>
      </w:pPr>
      <w:r>
        <w:rPr>
          <w:b/>
        </w:rPr>
        <w:t>Cifrado en tránsito</w:t>
      </w:r>
      <w:r>
        <w:t>: se exige TLS en comunicaciones sensibles y cifrado en la transmisión de datos personales (POL-14).</w:t>
      </w:r>
    </w:p>
    <w:p>
      <w:pPr>
        <w:pStyle w:val="ListBullet"/>
      </w:pPr>
      <w:r>
        <w:rPr>
          <w:b/>
        </w:rPr>
        <w:t>Control de dispositivos</w:t>
      </w:r>
      <w:r>
        <w:t>: los equipos se conectan solo si cumplen las políticas (postura, antivirus, parches).</w:t>
      </w:r>
    </w:p>
    <w:p>
      <w:pPr>
        <w:pStyle w:val="ListBullet"/>
      </w:pPr>
      <w:r>
        <w:rPr>
          <w:b/>
        </w:rPr>
        <w:t>Monitoreo</w:t>
      </w:r>
      <w:r>
        <w:t>: el tráfico se observa y registra (POL-13); las anomalías generan alertas (PCS-09).</w:t>
      </w:r>
    </w:p>
    <w:p>
      <w:pPr>
        <w:pStyle w:val="ListBullet"/>
      </w:pPr>
      <w:r>
        <w:rPr>
          <w:b/>
        </w:rPr>
        <w:t>Cambios de red</w:t>
      </w:r>
      <w:r>
        <w:t>: toda regla o topología nueva pasa por gestión de cambios (POL-06).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Div. TI / Redes</w:t>
      </w:r>
      <w:r>
        <w:t>: opera firewalls, segmentación, VPN y WAF.</w:t>
      </w:r>
    </w:p>
    <w:p>
      <w:pPr>
        <w:pStyle w:val="ListBullet"/>
      </w:pPr>
      <w:r>
        <w:rPr>
          <w:b/>
        </w:rPr>
        <w:t>RSI</w:t>
      </w:r>
      <w:r>
        <w:t>: define reglas de seguridad y prioriza hallazgos de red.</w:t>
      </w:r>
    </w:p>
    <w:p>
      <w:pPr>
        <w:pStyle w:val="ListBullet"/>
      </w:pPr>
      <w:r>
        <w:rPr>
          <w:b/>
        </w:rPr>
        <w:t>Operaciones de Seguridad</w:t>
      </w:r>
      <w:r>
        <w:t>: monitorea y responde a alertas de red.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Las reglas de firewall sin gestión o los dispositivos no autorizados se tratan como hallazgos. Revisión anual de la política y auditoría periódica de reglas.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Diagrama de red y segmentación</w:t>
            </w:r>
          </w:p>
        </w:tc>
        <w:tc>
          <w:tcPr>
            <w:tcW w:type="dxa" w:w="4824"/>
          </w:tcPr>
          <w:p>
            <w:r/>
            <w:r>
              <w:t>PR-06, ID-01</w:t>
            </w:r>
          </w:p>
        </w:tc>
      </w:tr>
      <w:tr>
        <w:tc>
          <w:tcPr>
            <w:tcW w:type="dxa" w:w="4824"/>
          </w:tcPr>
          <w:p>
            <w:r/>
            <w:r>
              <w:t>Reglas de firewall/WAF</w:t>
            </w:r>
          </w:p>
        </w:tc>
        <w:tc>
          <w:tcPr>
            <w:tcW w:type="dxa" w:w="4824"/>
          </w:tcPr>
          <w:p>
            <w:r/>
            <w:r>
              <w:t>PR-06, Actividad 45</w:t>
            </w:r>
          </w:p>
        </w:tc>
      </w:tr>
      <w:tr>
        <w:tc>
          <w:tcPr>
            <w:tcW w:type="dxa" w:w="4824"/>
          </w:tcPr>
          <w:p>
            <w:r/>
            <w:r>
              <w:t>Registro de cambios de red</w:t>
            </w:r>
          </w:p>
        </w:tc>
        <w:tc>
          <w:tcPr>
            <w:tcW w:type="dxa" w:w="4824"/>
          </w:tcPr>
          <w:p>
            <w:r/>
            <w:r>
              <w:t>POL-06, PR-07</w:t>
            </w:r>
          </w:p>
        </w:tc>
      </w:tr>
      <w:tr>
        <w:tc>
          <w:tcPr>
            <w:tcW w:type="dxa" w:w="4824"/>
          </w:tcPr>
          <w:p>
            <w:r/>
            <w:r>
              <w:t>Alertas y logs de red</w:t>
            </w:r>
          </w:p>
        </w:tc>
        <w:tc>
          <w:tcPr>
            <w:tcW w:type="dxa" w:w="4824"/>
          </w:tcPr>
          <w:p>
            <w:r/>
            <w:r>
              <w:t>DE-01, DE-02</w:t>
            </w:r>
          </w:p>
        </w:tc>
      </w:tr>
      <w:tr>
        <w:tc>
          <w:tcPr>
            <w:tcW w:type="dxa" w:w="4824"/>
          </w:tcPr>
          <w:p>
            <w:r/>
            <w:r>
              <w:t>Controles de red</w:t>
            </w:r>
          </w:p>
        </w:tc>
        <w:tc>
          <w:tcPr>
            <w:tcW w:type="dxa" w:w="4824"/>
          </w:tcPr>
          <w:p>
            <w:r/>
            <w:r>
              <w:t>CURSO INFRA-00…14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