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POL-14 · Política de Criptografía y Gestión de Claves</w:t>
      </w:r>
    </w:p>
    <w:p>
      <w:pPr>
        <w:ind w:left="432"/>
      </w:pPr>
      <w:r>
        <w:rPr>
          <w:i/>
          <w:color w:val="606060"/>
        </w:rPr>
        <w:t>**Función del MCU 5.0:** Proteger (PR.DS — protección de datos; PR.AC — acceso)</w:t>
      </w:r>
    </w:p>
    <w:p>
      <w:pPr>
        <w:ind w:left="432"/>
      </w:pPr>
      <w:r>
        <w:rPr>
          <w:i/>
          <w:color w:val="606060"/>
        </w:rPr>
        <w:t>**ISO/IEC 27001:** A.8.24 (criptografía) · A.8.23 (transferencia segura) · A.5.30-A.5.31 (requisitos y cumplimiento)</w:t>
      </w:r>
    </w:p>
    <w:p>
      <w:pPr>
        <w:ind w:left="432"/>
      </w:pPr>
      <w:r>
        <w:rPr>
          <w:i/>
          <w:color w:val="606060"/>
        </w:rPr>
        <w:t>**BCU:** EMG / RNRCSF — protección del sistema de pagos y de datos sensibles mediante cifrado</w:t>
      </w:r>
    </w:p>
    <w:p>
      <w:pPr>
        <w:ind w:left="432"/>
      </w:pPr>
      <w:r>
        <w:rPr>
          <w:i/>
          <w:color w:val="606060"/>
        </w:rPr>
        <w:t>**URCDP:** Ley 18.331 art. 10 — el cifrado es una medida técnica de seguridad esperada para datos personales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Criptografía y Gestión de Claves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Div. TI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los </w:t>
      </w:r>
      <w:r>
        <w:rPr>
          <w:b/>
        </w:rPr>
        <w:t>algoritmos, usos y gestión de claves</w:t>
      </w:r>
      <w:r>
        <w:t xml:space="preserve"> de cifrado del Banco, garantizando la confidencialidad e integridad de la información en tránsito y en reposo, con controles sobre el ciclo de vida de las claves.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datos en tránsito (redes, correo, VPN, web) y en reposo (discos, bases de datos, respaldos, medios removibles, dispositivos móviles), y a las claves, certificados y secretos que los protegen.</w:t>
      </w:r>
    </w:p>
    <w:p>
      <w:pPr>
        <w:pStyle w:val="Heading3"/>
      </w:pPr>
      <w:r>
        <w:rPr>
          <w:color w:val="1F3B63"/>
        </w:rPr>
        <w:t>3. Usos obligatorios del cifrado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Cifrado requerido</w:t>
            </w:r>
          </w:p>
        </w:tc>
      </w:tr>
      <w:tr>
        <w:tc>
          <w:tcPr>
            <w:tcW w:type="dxa" w:w="4824"/>
          </w:tcPr>
          <w:p>
            <w:r/>
            <w:r>
              <w:t>Comunicaciones (web, correo, VPN, API)</w:t>
            </w:r>
          </w:p>
        </w:tc>
        <w:tc>
          <w:tcPr>
            <w:tcW w:type="dxa" w:w="4824"/>
          </w:tcPr>
          <w:p>
            <w:r/>
            <w:r>
              <w:t>TLS 1.2+ (recomendado 1.3)</w:t>
            </w:r>
          </w:p>
        </w:tc>
      </w:tr>
      <w:tr>
        <w:tc>
          <w:tcPr>
            <w:tcW w:type="dxa" w:w="4824"/>
          </w:tcPr>
          <w:p>
            <w:r/>
            <w:r>
              <w:t>Datos personales y de clientes en reposo</w:t>
            </w:r>
          </w:p>
        </w:tc>
        <w:tc>
          <w:tcPr>
            <w:tcW w:type="dxa" w:w="4824"/>
          </w:tcPr>
          <w:p>
            <w:r/>
            <w:r>
              <w:t>Cifrado en base de datos / almacenamiento</w:t>
            </w:r>
          </w:p>
        </w:tc>
      </w:tr>
      <w:tr>
        <w:tc>
          <w:tcPr>
            <w:tcW w:type="dxa" w:w="4824"/>
          </w:tcPr>
          <w:p>
            <w:r/>
            <w:r>
              <w:t>Respaldos (POL-08)</w:t>
            </w:r>
          </w:p>
        </w:tc>
        <w:tc>
          <w:tcPr>
            <w:tcW w:type="dxa" w:w="4824"/>
          </w:tcPr>
          <w:p>
            <w:r/>
            <w:r>
              <w:t>Cifrado en tránsito y en reposo</w:t>
            </w:r>
          </w:p>
        </w:tc>
      </w:tr>
      <w:tr>
        <w:tc>
          <w:tcPr>
            <w:tcW w:type="dxa" w:w="4824"/>
          </w:tcPr>
          <w:p>
            <w:r/>
            <w:r>
              <w:t>Equipos móviles y portátiles</w:t>
            </w:r>
          </w:p>
        </w:tc>
        <w:tc>
          <w:tcPr>
            <w:tcW w:type="dxa" w:w="4824"/>
          </w:tcPr>
          <w:p>
            <w:r/>
            <w:r>
              <w:t>Cifrado de disco completo</w:t>
            </w:r>
          </w:p>
        </w:tc>
      </w:tr>
      <w:tr>
        <w:tc>
          <w:tcPr>
            <w:tcW w:type="dxa" w:w="4824"/>
          </w:tcPr>
          <w:p>
            <w:r/>
            <w:r>
              <w:t>Medios removibles</w:t>
            </w:r>
          </w:p>
        </w:tc>
        <w:tc>
          <w:tcPr>
            <w:tcW w:type="dxa" w:w="4824"/>
          </w:tcPr>
          <w:p>
            <w:r/>
            <w:r>
              <w:t>Cifrado del contenido</w:t>
            </w:r>
          </w:p>
        </w:tc>
      </w:tr>
      <w:tr>
        <w:tc>
          <w:tcPr>
            <w:tcW w:type="dxa" w:w="4824"/>
          </w:tcPr>
          <w:p>
            <w:r/>
            <w:r>
              <w:t>Transmisión a terceros</w:t>
            </w:r>
          </w:p>
        </w:tc>
        <w:tc>
          <w:tcPr>
            <w:tcW w:type="dxa" w:w="4824"/>
          </w:tcPr>
          <w:p>
            <w:r/>
            <w:r>
              <w:t>Cifrado + canal autorizado (POL-11)</w:t>
            </w:r>
          </w:p>
        </w:tc>
      </w:tr>
    </w:tbl>
    <w:p>
      <w:pPr>
        <w:pStyle w:val="Heading3"/>
      </w:pPr>
      <w:r>
        <w:rPr>
          <w:color w:val="1F3B63"/>
        </w:rPr>
        <w:t>4. Gestión de claves y secretos</w:t>
      </w:r>
    </w:p>
    <w:p>
      <w:pPr>
        <w:pStyle w:val="ListBullet"/>
      </w:pPr>
      <w:r>
        <w:t xml:space="preserve">Las claves se generan con </w:t>
      </w:r>
      <w:r>
        <w:rPr>
          <w:b/>
        </w:rPr>
        <w:t>algoritmos y longitudes aprobadas</w:t>
      </w:r>
      <w:r>
        <w:t xml:space="preserve"> [COMPLETAR: AES-256, RSA-2048+/ECC-256] y se almacenan en </w:t>
      </w:r>
      <w:r>
        <w:rPr>
          <w:b/>
        </w:rPr>
        <w:t>módulos de seguridad o gestores de secretos</w:t>
      </w:r>
      <w:r>
        <w:t xml:space="preserve"> (HSM/vault), no en archivos planos ni en el código.</w:t>
      </w:r>
    </w:p>
    <w:p>
      <w:pPr>
        <w:pStyle w:val="ListBullet"/>
      </w:pPr>
      <w:r>
        <w:rPr>
          <w:b/>
        </w:rPr>
        <w:t>Ciclo de vida</w:t>
      </w:r>
      <w:r>
        <w:t>: generación, distribución, almacenamiento, uso, rotación, revocación y destrucción, todo registrado.</w:t>
      </w:r>
    </w:p>
    <w:p>
      <w:pPr>
        <w:pStyle w:val="ListBullet"/>
      </w:pPr>
      <w:r>
        <w:rPr>
          <w:b/>
        </w:rPr>
        <w:t>Rotación</w:t>
      </w:r>
      <w:r>
        <w:t>: [COMPLETAR: anual; inmediata ante sospecha de compromiso].</w:t>
      </w:r>
    </w:p>
    <w:p>
      <w:pPr>
        <w:pStyle w:val="ListBullet"/>
      </w:pPr>
      <w:r>
        <w:rPr>
          <w:b/>
        </w:rPr>
        <w:t>Certificados</w:t>
      </w:r>
      <w:r>
        <w:t>: monitoreo de vencimiento y renovación automática/planificada.</w:t>
      </w:r>
    </w:p>
    <w:p>
      <w:pPr>
        <w:pStyle w:val="ListBullet"/>
      </w:pPr>
      <w:r>
        <w:rPr>
          <w:b/>
        </w:rPr>
        <w:t>Secretos en código</w:t>
      </w:r>
      <w:r>
        <w:t>: prohibido; se detecta con escaneo de secretos (Gitleaks) en el SDLC (POL-15).</w:t>
      </w:r>
    </w:p>
    <w:p>
      <w:pPr>
        <w:pStyle w:val="ListBullet"/>
      </w:pPr>
      <w:r>
        <w:rPr>
          <w:b/>
        </w:rPr>
        <w:t>Copias de claves</w:t>
      </w:r>
      <w:r>
        <w:t>: se respaldan de forma segura para no perder acceso a los datos cifrados.</w:t>
      </w:r>
    </w:p>
    <w:p>
      <w:pPr>
        <w:pStyle w:val="Heading3"/>
      </w:pPr>
      <w:r>
        <w:rPr>
          <w:color w:val="1F3B63"/>
        </w:rPr>
        <w:t>5. Responsabilidades</w:t>
      </w:r>
    </w:p>
    <w:p>
      <w:pPr>
        <w:pStyle w:val="ListBullet"/>
      </w:pPr>
      <w:r>
        <w:rPr>
          <w:b/>
        </w:rPr>
        <w:t>Div. TI</w:t>
      </w:r>
      <w:r>
        <w:t>: implementa y opera el cifrado y los gestores de claves.</w:t>
      </w:r>
    </w:p>
    <w:p>
      <w:pPr>
        <w:pStyle w:val="ListBullet"/>
      </w:pPr>
      <w:r>
        <w:rPr>
          <w:b/>
        </w:rPr>
        <w:t>RSI</w:t>
      </w:r>
      <w:r>
        <w:t>: aprueba algoritmos, vigila vencimientos y gestiona incidentes de claves.</w:t>
      </w:r>
    </w:p>
    <w:p>
      <w:pPr>
        <w:pStyle w:val="ListBullet"/>
      </w:pPr>
      <w:r>
        <w:rPr>
          <w:b/>
        </w:rPr>
        <w:t>Desarrollo</w:t>
      </w:r>
      <w:r>
        <w:t>: aplica las prácticas de cifrado en el SDLC.</w:t>
      </w:r>
    </w:p>
    <w:p>
      <w:pPr>
        <w:pStyle w:val="Heading3"/>
      </w:pPr>
      <w:r>
        <w:rPr>
          <w:color w:val="1F3B63"/>
        </w:rPr>
        <w:t>6. Cumplimiento y revisión</w:t>
      </w:r>
    </w:p>
    <w:p>
      <w:r>
        <w:t>Las claves expuestas o algoritmos débiles se tratan como incidentes (POL-07). Revisión anual de la política y del catálogo de algoritmos.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Catálogo de algoritmos y claves</w:t>
            </w:r>
          </w:p>
        </w:tc>
        <w:tc>
          <w:tcPr>
            <w:tcW w:type="dxa" w:w="4824"/>
          </w:tcPr>
          <w:p>
            <w:r/>
            <w:r>
              <w:t>PR-03, BCU-03</w:t>
            </w:r>
          </w:p>
        </w:tc>
      </w:tr>
      <w:tr>
        <w:tc>
          <w:tcPr>
            <w:tcW w:type="dxa" w:w="4824"/>
          </w:tcPr>
          <w:p>
            <w:r/>
            <w:r>
              <w:t>Registro de rotación de claves</w:t>
            </w:r>
          </w:p>
        </w:tc>
        <w:tc>
          <w:tcPr>
            <w:tcW w:type="dxa" w:w="4824"/>
          </w:tcPr>
          <w:p>
            <w:r/>
            <w:r>
              <w:t>PR-03</w:t>
            </w:r>
          </w:p>
        </w:tc>
      </w:tr>
      <w:tr>
        <w:tc>
          <w:tcPr>
            <w:tcW w:type="dxa" w:w="4824"/>
          </w:tcPr>
          <w:p>
            <w:r/>
            <w:r>
              <w:t>Escaneo de secretos</w:t>
            </w:r>
          </w:p>
        </w:tc>
        <w:tc>
          <w:tcPr>
            <w:tcW w:type="dxa" w:w="4824"/>
          </w:tcPr>
          <w:p>
            <w:r/>
            <w:r>
              <w:t>POL-15, Actividad 10</w:t>
            </w:r>
          </w:p>
        </w:tc>
      </w:tr>
      <w:tr>
        <w:tc>
          <w:tcPr>
            <w:tcW w:type="dxa" w:w="4824"/>
          </w:tcPr>
          <w:p>
            <w:r/>
            <w:r>
              <w:t>Configuración TLS</w:t>
            </w:r>
          </w:p>
        </w:tc>
        <w:tc>
          <w:tcPr>
            <w:tcW w:type="dxa" w:w="4824"/>
          </w:tcPr>
          <w:p>
            <w:r/>
            <w:r>
              <w:t>POL-12, Actividad 26</w:t>
            </w:r>
          </w:p>
        </w:tc>
      </w:tr>
      <w:tr>
        <w:tc>
          <w:tcPr>
            <w:tcW w:type="dxa" w:w="4824"/>
          </w:tcPr>
          <w:p>
            <w:r/>
            <w:r>
              <w:t>Gestor de secretos</w:t>
            </w:r>
          </w:p>
        </w:tc>
        <w:tc>
          <w:tcPr>
            <w:tcW w:type="dxa" w:w="4824"/>
          </w:tcPr>
          <w:p>
            <w:r/>
            <w:r>
              <w:t>PR-03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