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POL-15 · Política de Desarrollo Seguro (SDLC)</w:t>
      </w:r>
    </w:p>
    <w:p>
      <w:pPr>
        <w:ind w:left="432"/>
      </w:pPr>
      <w:r>
        <w:rPr>
          <w:i/>
          <w:color w:val="606060"/>
        </w:rPr>
        <w:t>**Función del MCU 5.0:** Proteger (PR.PS — seguridad de plataformas y aplicaciones)</w:t>
      </w:r>
    </w:p>
    <w:p>
      <w:pPr>
        <w:ind w:left="432"/>
      </w:pPr>
      <w:r>
        <w:rPr>
          <w:i/>
          <w:color w:val="606060"/>
        </w:rPr>
        <w:t>**ISO/IEC 27001:** A.8.25-A.8.28 (seguridad en desarrollo) · A.8.31 (entornos) · A.8.9 (configuraciones)</w:t>
      </w:r>
    </w:p>
    <w:p>
      <w:pPr>
        <w:ind w:left="432"/>
      </w:pPr>
      <w:r>
        <w:rPr>
          <w:i/>
          <w:color w:val="606060"/>
        </w:rPr>
        <w:t>**BCU:** EMG / RNRCSF — el desarrollo de software (interno y externo) debe ser seguro desde el diseño</w:t>
      </w:r>
    </w:p>
    <w:p>
      <w:pPr>
        <w:ind w:left="432"/>
      </w:pPr>
      <w:r>
        <w:rPr>
          <w:i/>
          <w:color w:val="606060"/>
        </w:rPr>
        <w:t>**URCDP:** Ley 18.331 art. 10 y 27 — las aplicaciones que tratan datos personales deben garantizar seguridad por diseño</w:t>
      </w:r>
    </w:p>
    <w:p>
      <w:pPr>
        <w:ind w:left="432"/>
      </w:pPr>
      <w:r>
        <w:rPr>
          <w:i/>
          <w:color w:val="606060"/>
        </w:rPr>
        <w:t>**Nivel del curso:** 🔴 Dominar</w:t>
      </w:r>
    </w:p>
    <w:p>
      <w:pPr>
        <w:spacing w:before="120" w:after="120"/>
      </w:pPr>
    </w:p>
    <w:p>
      <w:pPr>
        <w:pStyle w:val="Heading3"/>
      </w:pPr>
      <w:r>
        <w:rPr>
          <w:color w:val="1F3B63"/>
        </w:rPr>
        <w:t>ENCABEZADO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Código</w:t>
            </w:r>
          </w:p>
        </w:tc>
        <w:tc>
          <w:tcPr>
            <w:tcW w:type="dxa" w:w="4824"/>
          </w:tcPr>
          <w:p>
            <w:r/>
            <w:r>
              <w:t>POL-15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Título</w:t>
            </w:r>
          </w:p>
        </w:tc>
        <w:tc>
          <w:tcPr>
            <w:tcW w:type="dxa" w:w="4824"/>
          </w:tcPr>
          <w:p>
            <w:r/>
            <w:r>
              <w:t>Desarrollo Seguro (SDLC)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Versión</w:t>
            </w:r>
          </w:p>
        </w:tc>
        <w:tc>
          <w:tcPr>
            <w:tcW w:type="dxa" w:w="4824"/>
          </w:tcPr>
          <w:p>
            <w:r/>
            <w:r>
              <w:t>1.0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Estado</w:t>
            </w:r>
          </w:p>
        </w:tc>
        <w:tc>
          <w:tcPr>
            <w:tcW w:type="dxa" w:w="4824"/>
          </w:tcPr>
          <w:p>
            <w:r/>
            <w:r>
              <w:t>[Borrador / En revisión / Aprobado]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Fecha de aprobación</w:t>
            </w:r>
          </w:p>
        </w:tc>
        <w:tc>
          <w:tcPr>
            <w:tcW w:type="dxa" w:w="4824"/>
          </w:tcPr>
          <w:p>
            <w:r/>
            <w:r>
              <w:t>[COMPLETAR]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Elaborado por</w:t>
            </w:r>
          </w:p>
        </w:tc>
        <w:tc>
          <w:tcPr>
            <w:tcW w:type="dxa" w:w="4824"/>
          </w:tcPr>
          <w:p>
            <w:r/>
            <w:r>
              <w:t>Div. Desarrollo + RSI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Revisado por</w:t>
            </w:r>
          </w:p>
        </w:tc>
        <w:tc>
          <w:tcPr>
            <w:tcW w:type="dxa" w:w="4824"/>
          </w:tcPr>
          <w:p>
            <w:r/>
            <w:r>
              <w:t>Comité de Seguridad · QA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Aprobado por</w:t>
            </w:r>
          </w:p>
        </w:tc>
        <w:tc>
          <w:tcPr>
            <w:tcW w:type="dxa" w:w="4824"/>
          </w:tcPr>
          <w:p>
            <w:r/>
            <w:r>
              <w:t>Comité de Seguridad de la Información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Clasificación</w:t>
            </w:r>
          </w:p>
        </w:tc>
        <w:tc>
          <w:tcPr>
            <w:tcW w:type="dxa" w:w="4824"/>
          </w:tcPr>
          <w:p>
            <w:r/>
            <w:r>
              <w:t>Confidencial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Próxima revisión</w:t>
            </w:r>
          </w:p>
        </w:tc>
        <w:tc>
          <w:tcPr>
            <w:tcW w:type="dxa" w:w="4824"/>
          </w:tcPr>
          <w:p>
            <w:r/>
            <w:r>
              <w:t>[Fecha, máx. 1 año]</w:t>
            </w:r>
          </w:p>
        </w:tc>
      </w:tr>
    </w:tbl>
    <w:p>
      <w:pPr>
        <w:pStyle w:val="Heading3"/>
      </w:pPr>
      <w:r>
        <w:rPr>
          <w:color w:val="1F3B63"/>
        </w:rPr>
        <w:t>1. Objetivo</w:t>
      </w:r>
    </w:p>
    <w:p>
      <w:r>
        <w:t xml:space="preserve">Incorporar la </w:t>
      </w:r>
      <w:r>
        <w:rPr>
          <w:b/>
        </w:rPr>
        <w:t>seguridad en todo el ciclo de vida del software</w:t>
      </w:r>
      <w:r>
        <w:t xml:space="preserve"> (análisis, diseño, desarrollo, pruebas, despliegue, mantenimiento y retiro), reduciendo vulnerabilidades en las aplicaciones del Banco.</w:t>
      </w:r>
    </w:p>
    <w:p>
      <w:pPr>
        <w:pStyle w:val="Heading3"/>
      </w:pPr>
      <w:r>
        <w:rPr>
          <w:color w:val="1F3B63"/>
        </w:rPr>
        <w:t>2. Alcance</w:t>
      </w:r>
    </w:p>
    <w:p>
      <w:r>
        <w:t>Aplica a todo el desarrollo de software (interno, contratado o de proveedores), aplicaciones nuevas y existentes, código, dependencias, contenedores, APIs, bases de datos e integraciones.</w:t>
      </w:r>
    </w:p>
    <w:p>
      <w:pPr>
        <w:pStyle w:val="Heading3"/>
      </w:pPr>
      <w:r>
        <w:rPr>
          <w:color w:val="1F3B63"/>
        </w:rPr>
        <w:t>3. Reglas obligatorias por etapa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Etapa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Control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Requisitos</w:t>
            </w:r>
          </w:p>
        </w:tc>
        <w:tc>
          <w:tcPr>
            <w:tcW w:type="dxa" w:w="4824"/>
          </w:tcPr>
          <w:p>
            <w:r/>
            <w:r>
              <w:t>Requisitos de seguridad y privacidad desde el inicio (security/privacy by design)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Diseño</w:t>
            </w:r>
          </w:p>
        </w:tc>
        <w:tc>
          <w:tcPr>
            <w:tcW w:type="dxa" w:w="4824"/>
          </w:tcPr>
          <w:p>
            <w:r/>
            <w:r>
              <w:t>Modelado de amenazas (STRIDE) y diseño seguro; revisión de arquitectura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Desarrollo</w:t>
            </w:r>
          </w:p>
        </w:tc>
        <w:tc>
          <w:tcPr>
            <w:tcW w:type="dxa" w:w="4824"/>
          </w:tcPr>
          <w:p>
            <w:r/>
            <w:r>
              <w:t>Estándares de codificación segura (OWASP ASVS), repositorios con control de versiones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Análisis estático (SAST)</w:t>
            </w:r>
          </w:p>
        </w:tc>
        <w:tc>
          <w:tcPr>
            <w:tcW w:type="dxa" w:w="4824"/>
          </w:tcPr>
          <w:p>
            <w:r/>
            <w:r>
              <w:t>Escaneo de código (Bandit, Semgrep) en cada integración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Dependencias</w:t>
            </w:r>
          </w:p>
        </w:tc>
        <w:tc>
          <w:tcPr>
            <w:tcW w:type="dxa" w:w="4824"/>
          </w:tcPr>
          <w:p>
            <w:r/>
            <w:r>
              <w:t>Auditoría de dependencias (pip-audit, Trivy, Gitleaks para secretos)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Pruebas</w:t>
            </w:r>
          </w:p>
        </w:tc>
        <w:tc>
          <w:tcPr>
            <w:tcW w:type="dxa" w:w="4824"/>
          </w:tcPr>
          <w:p>
            <w:r/>
            <w:r>
              <w:t>Pruebas de seguridad (DAST/OWASP ZAP), pruebas funcionales y de regresión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Despliegue</w:t>
            </w:r>
          </w:p>
        </w:tc>
        <w:tc>
          <w:tcPr>
            <w:tcW w:type="dxa" w:w="4824"/>
          </w:tcPr>
          <w:p>
            <w:r/>
            <w:r>
              <w:t>Cambios mediante POL-06, entornos separados (dev/QA/prod), hardening de configuración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Mantenimiento</w:t>
            </w:r>
          </w:p>
        </w:tc>
        <w:tc>
          <w:tcPr>
            <w:tcW w:type="dxa" w:w="4824"/>
          </w:tcPr>
          <w:p>
            <w:r/>
            <w:r>
              <w:t>Gestión de vulnerabilidades (POL-05) y revisión continua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Retiro</w:t>
            </w:r>
          </w:p>
        </w:tc>
        <w:tc>
          <w:tcPr>
            <w:tcW w:type="dxa" w:w="4824"/>
          </w:tcPr>
          <w:p>
            <w:r/>
            <w:r>
              <w:t>Baja segura de servicios y datos</w:t>
            </w:r>
          </w:p>
        </w:tc>
      </w:tr>
    </w:tbl>
    <w:p>
      <w:pPr>
        <w:pStyle w:val="Heading3"/>
      </w:pPr>
      <w:r>
        <w:rPr>
          <w:color w:val="1F3B63"/>
        </w:rPr>
        <w:t>4. Entornos</w:t>
      </w:r>
    </w:p>
    <w:p>
      <w:pPr>
        <w:pStyle w:val="ListBullet"/>
      </w:pPr>
      <w:r>
        <w:t xml:space="preserve">Separación estricta entre </w:t>
      </w:r>
      <w:r>
        <w:rPr>
          <w:b/>
        </w:rPr>
        <w:t>desarrollo, homologación y producción</w:t>
      </w:r>
      <w:r>
        <w:t>.</w:t>
      </w:r>
    </w:p>
    <w:p>
      <w:pPr>
        <w:pStyle w:val="ListBullet"/>
      </w:pPr>
      <w:r>
        <w:t xml:space="preserve">Prohibido usar </w:t>
      </w:r>
      <w:r>
        <w:rPr>
          <w:b/>
        </w:rPr>
        <w:t>datos reales de clientes</w:t>
      </w:r>
      <w:r>
        <w:t xml:space="preserve"> en entornos de prueba (se usan datos sintéticos/anonimizados — POL-20).</w:t>
      </w:r>
    </w:p>
    <w:p>
      <w:pPr>
        <w:pStyle w:val="ListBullet"/>
      </w:pPr>
      <w:r>
        <w:t>Accesos a los entornos según POL-04 (menor privilegio).</w:t>
      </w:r>
    </w:p>
    <w:p>
      <w:pPr>
        <w:pStyle w:val="Heading3"/>
      </w:pPr>
      <w:r>
        <w:rPr>
          <w:color w:val="1F3B63"/>
        </w:rPr>
        <w:t>5. Código y herramientas de IA</w:t>
      </w:r>
    </w:p>
    <w:p>
      <w:pPr>
        <w:pStyle w:val="ListBullet"/>
      </w:pPr>
      <w:r>
        <w:t xml:space="preserve">El código generado o asistido por IA pasa el </w:t>
      </w:r>
      <w:r>
        <w:rPr>
          <w:b/>
        </w:rPr>
        <w:t>mismo proceso de revisión y escaneo</w:t>
      </w:r>
      <w:r>
        <w:t xml:space="preserve"> que el código manual (POL-17, curso AISEC).</w:t>
      </w:r>
    </w:p>
    <w:p>
      <w:pPr>
        <w:pStyle w:val="ListBullet"/>
      </w:pPr>
      <w:r>
        <w:t>El código no se sube a herramientas externas no autorizadas (POL-02, POL-17).</w:t>
      </w:r>
    </w:p>
    <w:p>
      <w:pPr>
        <w:pStyle w:val="Heading3"/>
      </w:pPr>
      <w:r>
        <w:rPr>
          <w:color w:val="1F3B63"/>
        </w:rPr>
        <w:t>6. Responsabilidades</w:t>
      </w:r>
    </w:p>
    <w:p>
      <w:pPr>
        <w:pStyle w:val="ListBullet"/>
      </w:pPr>
      <w:r>
        <w:rPr>
          <w:b/>
        </w:rPr>
        <w:t>Desarrollo</w:t>
      </w:r>
      <w:r>
        <w:t>: codifica de forma segura y corrige hallazgos.</w:t>
      </w:r>
    </w:p>
    <w:p>
      <w:pPr>
        <w:pStyle w:val="ListBullet"/>
      </w:pPr>
      <w:r>
        <w:rPr>
          <w:b/>
        </w:rPr>
        <w:t>QA</w:t>
      </w:r>
      <w:r>
        <w:t>: ejecuta y verifica pruebas de seguridad.</w:t>
      </w:r>
    </w:p>
    <w:p>
      <w:pPr>
        <w:pStyle w:val="ListBullet"/>
      </w:pPr>
      <w:r>
        <w:rPr>
          <w:b/>
        </w:rPr>
        <w:t>RSI</w:t>
      </w:r>
      <w:r>
        <w:t>: define estándares y prioriza hallazgos de seguridad.</w:t>
      </w:r>
    </w:p>
    <w:p>
      <w:pPr>
        <w:pStyle w:val="ListBullet"/>
      </w:pPr>
      <w:r>
        <w:rPr>
          <w:b/>
        </w:rPr>
        <w:t>DPD</w:t>
      </w:r>
      <w:r>
        <w:t>: evalúa la protección de datos en las aplicaciones.</w:t>
      </w:r>
    </w:p>
    <w:p>
      <w:pPr>
        <w:pStyle w:val="Heading3"/>
      </w:pPr>
      <w:r>
        <w:rPr>
          <w:color w:val="1F3B63"/>
        </w:rPr>
        <w:t>7. Cumplimiento y revisión</w:t>
      </w:r>
    </w:p>
    <w:p>
      <w:r>
        <w:t>Las aplicaciones con vulnerabilidades críticas no se despliegan a producción. Revisión anual de la política y de los estándares.</w:t>
      </w:r>
    </w:p>
    <w:p>
      <w:pPr>
        <w:pStyle w:val="Heading3"/>
      </w:pPr>
      <w:r>
        <w:rPr>
          <w:color w:val="1F3B63"/>
        </w:rPr>
        <w:t>Evidencia del kit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Evidencia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Documento canónico</w:t>
            </w:r>
          </w:p>
        </w:tc>
      </w:tr>
      <w:tr>
        <w:tc>
          <w:tcPr>
            <w:tcW w:type="dxa" w:w="4824"/>
          </w:tcPr>
          <w:p>
            <w:r/>
            <w:r>
              <w:t>Estándares de codificación</w:t>
            </w:r>
          </w:p>
        </w:tc>
        <w:tc>
          <w:tcPr>
            <w:tcW w:type="dxa" w:w="4824"/>
          </w:tcPr>
          <w:p>
            <w:r/>
            <w:r>
              <w:t>PR-07</w:t>
            </w:r>
          </w:p>
        </w:tc>
      </w:tr>
      <w:tr>
        <w:tc>
          <w:tcPr>
            <w:tcW w:type="dxa" w:w="4824"/>
          </w:tcPr>
          <w:p>
            <w:r/>
            <w:r>
              <w:t>Resultados SAST/DAST</w:t>
            </w:r>
          </w:p>
        </w:tc>
        <w:tc>
          <w:tcPr>
            <w:tcW w:type="dxa" w:w="4824"/>
          </w:tcPr>
          <w:p>
            <w:r/>
            <w:r>
              <w:t>PR-07, Actividades 05-08</w:t>
            </w:r>
          </w:p>
        </w:tc>
      </w:tr>
      <w:tr>
        <w:tc>
          <w:tcPr>
            <w:tcW w:type="dxa" w:w="4824"/>
          </w:tcPr>
          <w:p>
            <w:r/>
            <w:r>
              <w:t>Auditoría de dependencias</w:t>
            </w:r>
          </w:p>
        </w:tc>
        <w:tc>
          <w:tcPr>
            <w:tcW w:type="dxa" w:w="4824"/>
          </w:tcPr>
          <w:p>
            <w:r/>
            <w:r>
              <w:t>Actividad 06</w:t>
            </w:r>
          </w:p>
        </w:tc>
      </w:tr>
      <w:tr>
        <w:tc>
          <w:tcPr>
            <w:tcW w:type="dxa" w:w="4824"/>
          </w:tcPr>
          <w:p>
            <w:r/>
            <w:r>
              <w:t>Modelado de amenazas</w:t>
            </w:r>
          </w:p>
        </w:tc>
        <w:tc>
          <w:tcPr>
            <w:tcW w:type="dxa" w:w="4824"/>
          </w:tcPr>
          <w:p>
            <w:r/>
            <w:r>
              <w:t>Actividad 13</w:t>
            </w:r>
          </w:p>
        </w:tc>
      </w:tr>
      <w:tr>
        <w:tc>
          <w:tcPr>
            <w:tcW w:type="dxa" w:w="4824"/>
          </w:tcPr>
          <w:p>
            <w:r/>
            <w:r>
              <w:t>Gestión de cambios</w:t>
            </w:r>
          </w:p>
        </w:tc>
        <w:tc>
          <w:tcPr>
            <w:tcW w:type="dxa" w:w="4824"/>
          </w:tcPr>
          <w:p>
            <w:r/>
            <w:r>
              <w:t>POL-06, PR-07</w:t>
            </w:r>
          </w:p>
        </w:tc>
      </w:tr>
      <w:tr>
        <w:tc>
          <w:tcPr>
            <w:tcW w:type="dxa" w:w="4824"/>
          </w:tcPr>
          <w:p>
            <w:r/>
            <w:r>
              <w:t>Datos de prueba anonimizados</w:t>
            </w:r>
          </w:p>
        </w:tc>
        <w:tc>
          <w:tcPr>
            <w:tcW w:type="dxa" w:w="4824"/>
          </w:tcPr>
          <w:p>
            <w:r/>
            <w:r>
              <w:t>POL-20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