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POL-16 · Política de Dispositivos Móviles, Medios Removibles y Trabajo Remoto</w:t>
      </w:r>
    </w:p>
    <w:p>
      <w:pPr>
        <w:ind w:left="432"/>
      </w:pPr>
      <w:r>
        <w:rPr>
          <w:i/>
          <w:color w:val="606060"/>
        </w:rPr>
        <w:t>**Función del MCU 5.0:** Proteger (PR.AC — acceso; PR.DS — datos)</w:t>
      </w:r>
    </w:p>
    <w:p>
      <w:pPr>
        <w:ind w:left="432"/>
      </w:pPr>
      <w:r>
        <w:rPr>
          <w:i/>
          <w:color w:val="606060"/>
        </w:rPr>
        <w:t>**ISO/IEC 27001:** A.8.1-A.8.2 (dispositivos de usuario) · A.8.3 (política de dispositivos) · A.6.7 (trabajo remoto)</w:t>
      </w:r>
    </w:p>
    <w:p>
      <w:pPr>
        <w:ind w:left="432"/>
      </w:pPr>
      <w:r>
        <w:rPr>
          <w:i/>
          <w:color w:val="606060"/>
        </w:rPr>
        <w:t>**BCU:** EMG — protección de datos fuera de las instalaciones y en medios móviles</w:t>
      </w:r>
    </w:p>
    <w:p>
      <w:pPr>
        <w:ind w:left="432"/>
      </w:pPr>
      <w:r>
        <w:rPr>
          <w:i/>
          <w:color w:val="606060"/>
        </w:rPr>
        <w:t>**URCDP:** Ley 18.331 art. 10 — los datos personales fuera de la sede requieren medidas reforzadas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POL-16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Dispositivos Móviles, Medios Removibles y Trabajo Remoto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Div. TI + 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RRHH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Proteger la información del Banco en </w:t>
      </w:r>
      <w:r>
        <w:rPr>
          <w:b/>
        </w:rPr>
        <w:t>dispositivos móviles, medios removibles y en la modalidad de trabajo remoto</w:t>
      </w:r>
      <w:r>
        <w:t>, controlando su uso, cifrado y destrucción.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portátiles, celulares corporativos, tablets, memorias USB, discos externos, tarjetas y a todo acceso remoto (VPN, escritorio remoto, nube).</w:t>
      </w:r>
    </w:p>
    <w:p>
      <w:pPr>
        <w:pStyle w:val="Heading3"/>
      </w:pPr>
      <w:r>
        <w:rPr>
          <w:color w:val="1F3B63"/>
        </w:rPr>
        <w:t>3. Reglas obligatorias</w:t>
      </w:r>
    </w:p>
    <w:p>
      <w:pPr>
        <w:pStyle w:val="ListBullet"/>
      </w:pPr>
      <w:r>
        <w:rPr>
          <w:b/>
        </w:rPr>
        <w:t>Dispositivos corporativos</w:t>
      </w:r>
      <w:r>
        <w:t>: solo equipos autorizados, con cifrado de disco (POL-14), antivirus/EDR, parches y bloqueo de pantalla.</w:t>
      </w:r>
    </w:p>
    <w:p>
      <w:pPr>
        <w:pStyle w:val="ListBullet"/>
      </w:pPr>
      <w:r>
        <w:rPr>
          <w:b/>
        </w:rPr>
        <w:t>BYOD</w:t>
      </w:r>
      <w:r>
        <w:t>: solo se permite si está autorizado por la Div. TI; los datos del Banco se manejan en contenedores gestionados o vía acceso remoto, sin copiarlos al dispositivo personal.</w:t>
      </w:r>
    </w:p>
    <w:p>
      <w:pPr>
        <w:pStyle w:val="ListBullet"/>
      </w:pPr>
      <w:r>
        <w:rPr>
          <w:b/>
        </w:rPr>
        <w:t>Medios removibles</w:t>
      </w:r>
      <w:r>
        <w:t>: prohibido el uso de memorias USB personales para datos CONFIDENCIALES; los medios corporativos se cifran, se inventarían y se destruyen de forma segura al retiro (PRO-09).</w:t>
      </w:r>
    </w:p>
    <w:p>
      <w:pPr>
        <w:pStyle w:val="ListBullet"/>
      </w:pPr>
      <w:r>
        <w:rPr>
          <w:b/>
        </w:rPr>
        <w:t>Trabajo remoto</w:t>
      </w:r>
      <w:r>
        <w:t>: solo por VPN corporativa con MFA; el equipo debe estar actualizado y bloqueado; no se trabaja en lugares públicos con información visible (POL-18).</w:t>
      </w:r>
    </w:p>
    <w:p>
      <w:pPr>
        <w:pStyle w:val="ListBullet"/>
      </w:pPr>
      <w:r>
        <w:rPr>
          <w:b/>
        </w:rPr>
        <w:t>Pérdida o robo</w:t>
      </w:r>
      <w:r>
        <w:t>: se reporta de inmediato (PRO-04) para aplicar borrado remoto y revocación.</w:t>
      </w:r>
    </w:p>
    <w:p>
      <w:pPr>
        <w:pStyle w:val="ListBullet"/>
      </w:pPr>
      <w:r>
        <w:t xml:space="preserve">Está prohibido </w:t>
      </w:r>
      <w:r>
        <w:rPr>
          <w:b/>
        </w:rPr>
        <w:t>almacenar datos de clientes en dispositivos personales</w:t>
      </w:r>
      <w:r>
        <w:t>.</w:t>
      </w:r>
    </w:p>
    <w:p>
      <w:pPr>
        <w:pStyle w:val="ListBullet"/>
      </w:pPr>
      <w:r>
        <w:t xml:space="preserve">Las conexiones Wi-Fi públicas </w:t>
      </w:r>
      <w:r>
        <w:rPr>
          <w:b/>
        </w:rPr>
        <w:t>no</w:t>
      </w:r>
      <w:r>
        <w:t xml:space="preserve"> se usan para información confidencial sin VPN.</w:t>
      </w:r>
    </w:p>
    <w:p>
      <w:pPr>
        <w:pStyle w:val="Heading3"/>
      </w:pPr>
      <w:r>
        <w:rPr>
          <w:color w:val="1F3B63"/>
        </w:rPr>
        <w:t>4. Responsabilidades</w:t>
      </w:r>
    </w:p>
    <w:p>
      <w:pPr>
        <w:pStyle w:val="ListBullet"/>
      </w:pPr>
      <w:r>
        <w:rPr>
          <w:b/>
        </w:rPr>
        <w:t>Div. TI</w:t>
      </w:r>
      <w:r>
        <w:t>: gestión de dispositivos (MDM), cifrado y parches.</w:t>
      </w:r>
    </w:p>
    <w:p>
      <w:pPr>
        <w:pStyle w:val="ListBullet"/>
      </w:pPr>
      <w:r>
        <w:rPr>
          <w:b/>
        </w:rPr>
        <w:t>RSI</w:t>
      </w:r>
      <w:r>
        <w:t>: define reglas y gestiona incidentes de dispositivos.</w:t>
      </w:r>
    </w:p>
    <w:p>
      <w:pPr>
        <w:pStyle w:val="ListBullet"/>
      </w:pPr>
      <w:r>
        <w:rPr>
          <w:b/>
        </w:rPr>
        <w:t>Usuario</w:t>
      </w:r>
      <w:r>
        <w:t>: custodia el equipo y reporta pérdidas.</w:t>
      </w:r>
    </w:p>
    <w:p>
      <w:pPr>
        <w:pStyle w:val="Heading3"/>
      </w:pPr>
      <w:r>
        <w:rPr>
          <w:color w:val="1F3B63"/>
        </w:rPr>
        <w:t>5. Cumplimiento y revisión</w:t>
      </w:r>
    </w:p>
    <w:p>
      <w:r>
        <w:t>La pérdida de un dispositivo sin reportar o con datos personales se investiga y puede ser vulneración notificable (PRO-05). Revisión anual de la política.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Inventario de dispositivos</w:t>
            </w:r>
          </w:p>
        </w:tc>
        <w:tc>
          <w:tcPr>
            <w:tcW w:type="dxa" w:w="4824"/>
          </w:tcPr>
          <w:p>
            <w:r/>
            <w:r>
              <w:t>ID-01, PR-03</w:t>
            </w:r>
          </w:p>
        </w:tc>
      </w:tr>
      <w:tr>
        <w:tc>
          <w:tcPr>
            <w:tcW w:type="dxa" w:w="4824"/>
          </w:tcPr>
          <w:p>
            <w:r/>
            <w:r>
              <w:t>Configuración MDM y cifrado</w:t>
            </w:r>
          </w:p>
        </w:tc>
        <w:tc>
          <w:tcPr>
            <w:tcW w:type="dxa" w:w="4824"/>
          </w:tcPr>
          <w:p>
            <w:r/>
            <w:r>
              <w:t>PR-03</w:t>
            </w:r>
          </w:p>
        </w:tc>
      </w:tr>
      <w:tr>
        <w:tc>
          <w:tcPr>
            <w:tcW w:type="dxa" w:w="4824"/>
          </w:tcPr>
          <w:p>
            <w:r/>
            <w:r>
              <w:t>Registro de incidentes de dispositivos</w:t>
            </w:r>
          </w:p>
        </w:tc>
        <w:tc>
          <w:tcPr>
            <w:tcW w:type="dxa" w:w="4824"/>
          </w:tcPr>
          <w:p>
            <w:r/>
            <w:r>
              <w:t>RS-01</w:t>
            </w:r>
          </w:p>
        </w:tc>
      </w:tr>
      <w:tr>
        <w:tc>
          <w:tcPr>
            <w:tcW w:type="dxa" w:w="4824"/>
          </w:tcPr>
          <w:p>
            <w:r/>
            <w:r>
              <w:t>Registro de medios removibles</w:t>
            </w:r>
          </w:p>
        </w:tc>
        <w:tc>
          <w:tcPr>
            <w:tcW w:type="dxa" w:w="4824"/>
          </w:tcPr>
          <w:p>
            <w:r/>
            <w:r>
              <w:t>PRO-09, PR-03</w:t>
            </w:r>
          </w:p>
        </w:tc>
      </w:tr>
      <w:tr>
        <w:tc>
          <w:tcPr>
            <w:tcW w:type="dxa" w:w="4824"/>
          </w:tcPr>
          <w:p>
            <w:r/>
            <w:r>
              <w:t>Política de trabajo remoto</w:t>
            </w:r>
          </w:p>
        </w:tc>
        <w:tc>
          <w:tcPr>
            <w:tcW w:type="dxa" w:w="4824"/>
          </w:tcPr>
          <w:p>
            <w:r/>
            <w:r>
              <w:t>PR-08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